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200"/>
        <w:jc w:val="center"/>
      </w:pPr>
      <w:r>
        <w:drawing>
          <wp:inline xmlns:a="http://schemas.openxmlformats.org/drawingml/2006/main" xmlns:pic="http://schemas.openxmlformats.org/drawingml/2006/picture">
            <wp:extent cx="1170432" cy="1170432"/>
            <wp:docPr id="1" name="Picture 1"/>
            <wp:cNvGraphicFramePr>
              <a:graphicFrameLocks noChangeAspect="1"/>
            </wp:cNvGraphicFramePr>
            <a:graphic>
              <a:graphicData uri="http://schemas.openxmlformats.org/drawingml/2006/picture">
                <pic:pic>
                  <pic:nvPicPr>
                    <pic:cNvPr id="0" name="058bc0a9-99d7-4b31-a42f-d4082fa6ae7d.png"/>
                    <pic:cNvPicPr/>
                  </pic:nvPicPr>
                  <pic:blipFill>
                    <a:blip r:embed="rId11"/>
                    <a:stretch>
                      <a:fillRect/>
                    </a:stretch>
                  </pic:blipFill>
                  <pic:spPr>
                    <a:xfrm>
                      <a:off x="0" y="0"/>
                      <a:ext cx="1170432" cy="1170432"/>
                    </a:xfrm>
                    <a:prstGeom prst="rect"/>
                  </pic:spPr>
                </pic:pic>
              </a:graphicData>
            </a:graphic>
          </wp:inline>
        </w:drawing>
      </w:r>
    </w:p>
    <w:p>
      <w:pPr>
        <w:widowControl/>
        <w:spacing w:after="160"/>
        <w:jc w:val="center"/>
      </w:pPr>
      <w:r>
        <w:rPr>
          <w:rFonts w:ascii="Aptos" w:hAnsi="Aptos"/>
          <w:b/>
          <w:color w:val="0B213B"/>
          <w:sz w:val="54"/>
        </w:rPr>
        <w:t>Medicaid Denial Diagnosis</w:t>
        <w:br/>
        <w:t>&amp; Resolution Guide</w:t>
      </w:r>
    </w:p>
    <w:p>
      <w:pPr>
        <w:widowControl/>
        <w:spacing w:after="320"/>
        <w:jc w:val="center"/>
      </w:pPr>
      <w:r>
        <w:rPr>
          <w:rFonts w:ascii="Aptos" w:hAnsi="Aptos"/>
          <w:color w:val="5E6872"/>
          <w:sz w:val="25"/>
        </w:rPr>
        <w:t>A practical field guide for Medicaid HCBS/LTSS revenue-cycle professionals</w:t>
      </w:r>
    </w:p>
    <w:tbl>
      <w:tblPr>
        <w:tblW w:type="auto" w:w="0"/>
        <w:jc w:val="center"/>
        <w:tblLayout w:type="fixed"/>
        <w:tblLook w:firstColumn="1" w:firstRow="1" w:lastColumn="0" w:lastRow="0" w:noHBand="0" w:noVBand="1" w:val="04A0"/>
      </w:tblPr>
      <w:tblGrid>
        <w:gridCol w:w="10454"/>
      </w:tblGrid>
      <w:tr>
        <w:trPr>
          <w:cantSplit/>
        </w:trPr>
        <w:tc>
          <w:tcPr>
            <w:tcW w:type="dxa" w:w="10454"/>
            <w:shd w:fill="F7F0D8"/>
            <w:tcMar>
              <w:top w:w="120" w:type="dxa"/>
              <w:start w:w="140" w:type="dxa"/>
              <w:bottom w:w="120" w:type="dxa"/>
              <w:end w:w="140" w:type="dxa"/>
            </w:tcMar>
            <w:tcBorders>
              <w:left w:val="single" w:sz="18" w:color="C9A227"/>
            </w:tcBorders>
          </w:tcPr>
          <w:p>
            <w:pPr>
              <w:spacing w:after="80"/>
            </w:pPr>
            <w:r>
              <w:rPr>
                <w:rFonts w:ascii="Aptos" w:hAnsi="Aptos"/>
                <w:b/>
                <w:color w:val="C9A227"/>
                <w:sz w:val="21"/>
              </w:rPr>
              <w:t>THE CORE RULE</w:t>
            </w:r>
          </w:p>
          <w:p>
            <w:pPr>
              <w:spacing w:after="0"/>
            </w:pPr>
            <w:r>
              <w:rPr>
                <w:rFonts w:ascii="Aptos" w:hAnsi="Aptos"/>
                <w:color w:val="1D242B"/>
                <w:sz w:val="19"/>
              </w:rPr>
              <w:t>A denial code is a signal, not a root cause. Diagnose the failure before you correct, resubmit, or appeal.</w:t>
            </w:r>
          </w:p>
        </w:tc>
      </w:tr>
    </w:tbl>
    <w:p>
      <w:pPr>
        <w:widowControl/>
        <w:spacing w:after="20"/>
      </w:pPr>
    </w:p>
    <w:p>
      <w:pPr>
        <w:widowControl/>
        <w:spacing w:after="280"/>
        <w:jc w:val="center"/>
      </w:pPr>
      <w:r>
        <w:rPr>
          <w:rFonts w:ascii="Aptos" w:hAnsi="Aptos"/>
          <w:b/>
          <w:color w:val="0B213B"/>
          <w:sz w:val="30"/>
        </w:rPr>
        <w:t>VERIFY  →  ACT / HOLD / ESCALATE</w:t>
      </w:r>
    </w:p>
    <w:p>
      <w:pPr>
        <w:keepNext w:val="0"/>
        <w:widowControl/>
        <w:spacing w:after="200"/>
      </w:pPr>
      <w:r>
        <w:rPr>
          <w:rFonts w:ascii="Aptos" w:hAnsi="Aptos"/>
          <w:color w:val="1D242B"/>
          <w:sz w:val="20"/>
        </w:rPr>
        <w:t>Use this guide to move from remittance message to verified cause, correct resolution path, retained evidence, and recurrence prevention. It is intentionally national in scope: state Medicaid agencies, MCOs, fiscal agents, and program-specific authorities may impose additional or different requirements.</w:t>
      </w:r>
    </w:p>
    <w:tbl>
      <w:tblPr>
        <w:tblW w:type="auto" w:w="0"/>
        <w:jc w:val="center"/>
        <w:tblLayout w:type="fixed"/>
        <w:tblLook w:firstColumn="1" w:firstRow="1" w:lastColumn="0" w:lastRow="0" w:noHBand="0" w:noVBand="1" w:val="04A0"/>
      </w:tblPr>
      <w:tblGrid>
        <w:gridCol w:w="10454"/>
      </w:tblGrid>
      <w:tr>
        <w:trPr>
          <w:cantSplit/>
        </w:trPr>
        <w:tc>
          <w:tcPr>
            <w:tcW w:type="dxa" w:w="10454"/>
            <w:shd w:fill="EAF1F6"/>
            <w:tcMar>
              <w:top w:w="120" w:type="dxa"/>
              <w:start w:w="140" w:type="dxa"/>
              <w:bottom w:w="120" w:type="dxa"/>
              <w:end w:w="140" w:type="dxa"/>
            </w:tcMar>
            <w:tcBorders>
              <w:left w:val="single" w:sz="18" w:color="0B213B"/>
            </w:tcBorders>
          </w:tcPr>
          <w:p>
            <w:pPr>
              <w:spacing w:after="80"/>
            </w:pPr>
            <w:r>
              <w:rPr>
                <w:rFonts w:ascii="Aptos" w:hAnsi="Aptos"/>
                <w:b/>
                <w:color w:val="0B213B"/>
                <w:sz w:val="21"/>
              </w:rPr>
              <w:t>Important</w:t>
            </w:r>
          </w:p>
          <w:p>
            <w:pPr>
              <w:spacing w:after="0"/>
            </w:pPr>
            <w:r>
              <w:rPr>
                <w:rFonts w:ascii="Aptos" w:hAnsi="Aptos"/>
                <w:color w:val="1D242B"/>
                <w:sz w:val="19"/>
              </w:rPr>
              <w:t>Do not treat a denial as a billing-department problem by default. Many denials are downstream symptoms of eligibility, provider enrollment, authorization, EVV, documentation, or payer-routing failures that occurred earlier in the revenue cycle.</w:t>
            </w:r>
          </w:p>
        </w:tc>
      </w:tr>
    </w:tbl>
    <w:p>
      <w:pPr>
        <w:widowControl/>
        <w:spacing w:after="20"/>
      </w:pPr>
    </w:p>
    <w:p>
      <w:pPr>
        <w:widowControl/>
        <w:jc w:val="center"/>
      </w:pPr>
      <w:r>
        <w:rPr>
          <w:rFonts w:ascii="Aptos" w:hAnsi="Aptos"/>
          <w:b/>
          <w:color w:val="0B213B"/>
          <w:sz w:val="20"/>
        </w:rPr>
        <w:t>Home Care Revenue Institute (HCRI)</w:t>
      </w:r>
      <w:r>
        <w:rPr>
          <w:rFonts w:ascii="Aptos" w:hAnsi="Aptos"/>
          <w:color w:val="5E6872"/>
          <w:sz w:val="19"/>
        </w:rPr>
        <w:t xml:space="preserve">  |  Practical competency for Medicaid home care revenue operations</w:t>
      </w:r>
    </w:p>
    <w:p>
      <w:pPr>
        <w:widowControl/>
      </w:pPr>
      <w:r>
        <w:br w:type="page"/>
      </w:r>
    </w:p>
    <w:p>
      <w:pPr>
        <w:pStyle w:val="Heading1"/>
        <w:keepNext/>
        <w:widowControl/>
        <w:spacing w:before="140" w:after="100"/>
      </w:pPr>
      <w:r>
        <w:rPr>
          <w:rFonts w:ascii="Aptos" w:hAnsi="Aptos"/>
          <w:b/>
          <w:color w:val="0B213B"/>
          <w:sz w:val="32"/>
        </w:rPr>
        <w:t>1. Start Here: The Six-Step Denial Response</w:t>
      </w:r>
    </w:p>
    <w:p>
      <w:pPr>
        <w:keepNext w:val="0"/>
        <w:widowControl/>
        <w:spacing w:after="160"/>
      </w:pPr>
      <w:r>
        <w:rPr>
          <w:rFonts w:ascii="Aptos" w:hAnsi="Aptos"/>
          <w:color w:val="1D242B"/>
          <w:sz w:val="20"/>
        </w:rPr>
        <w:t>The fastest resolution is usually the one that correctly identifies where the revenue cycle failed. Do not begin by asking, “How do I rebill this?” Begin by asking, “What condition was not satisfied?”</w:t>
      </w:r>
    </w:p>
    <w:tbl>
      <w:tblPr>
        <w:tblW w:type="auto" w:w="0"/>
        <w:jc w:val="center"/>
        <w:tblLayout w:type="fixed"/>
        <w:tblLook w:firstColumn="1" w:firstRow="1" w:lastColumn="0" w:lastRow="0" w:noHBand="0" w:noVBand="1" w:val="04A0"/>
      </w:tblPr>
      <w:tblGrid>
        <w:gridCol w:w="5227"/>
        <w:gridCol w:w="5227"/>
      </w:tblGrid>
      <w:tr>
        <w:trPr>
          <w:cantSplit/>
        </w:trPr>
        <w:tc>
          <w:tcPr>
            <w:tcW w:type="dxa" w:w="1512"/>
            <w:shd w:fill="0B213B"/>
            <w:tcMar>
              <w:top w:w="85" w:type="dxa"/>
              <w:start w:w="95" w:type="dxa"/>
              <w:bottom w:w="85" w:type="dxa"/>
              <w:end w:w="95" w:type="dxa"/>
            </w:tcMar>
          </w:tcPr>
          <w:p>
            <w:r>
              <w:rPr>
                <w:rFonts w:ascii="Aptos" w:hAnsi="Aptos"/>
                <w:b/>
                <w:color w:val="FFFFFF"/>
                <w:sz w:val="18"/>
              </w:rPr>
              <w:t>1  READ</w:t>
            </w:r>
          </w:p>
        </w:tc>
        <w:tc>
          <w:tcPr>
            <w:tcW w:type="dxa" w:w="8640"/>
            <w:shd w:fill="F3F5F7"/>
            <w:tcMar>
              <w:top w:w="85" w:type="dxa"/>
              <w:start w:w="95" w:type="dxa"/>
              <w:bottom w:w="85" w:type="dxa"/>
              <w:end w:w="95" w:type="dxa"/>
            </w:tcMar>
          </w:tcPr>
          <w:p>
            <w:r>
              <w:rPr>
                <w:rFonts w:ascii="Aptos" w:hAnsi="Aptos"/>
                <w:color w:val="1D242B"/>
                <w:sz w:val="18"/>
              </w:rPr>
              <w:t>Read the full remittance message, including group code, CARC, RARC, payer text, claim/line status, and any portal detail.</w:t>
            </w:r>
          </w:p>
        </w:tc>
      </w:tr>
      <w:tr>
        <w:trPr>
          <w:cantSplit/>
        </w:trPr>
        <w:tc>
          <w:tcPr>
            <w:tcW w:type="dxa" w:w="1512"/>
            <w:shd w:fill="173A5E"/>
            <w:tcMar>
              <w:top w:w="85" w:type="dxa"/>
              <w:start w:w="95" w:type="dxa"/>
              <w:bottom w:w="85" w:type="dxa"/>
              <w:end w:w="95" w:type="dxa"/>
            </w:tcMar>
          </w:tcPr>
          <w:p>
            <w:r>
              <w:rPr>
                <w:rFonts w:ascii="Aptos" w:hAnsi="Aptos"/>
                <w:b/>
                <w:color w:val="FFFFFF"/>
                <w:sz w:val="18"/>
              </w:rPr>
              <w:t>2  VERIFY</w:t>
            </w:r>
          </w:p>
        </w:tc>
        <w:tc>
          <w:tcPr>
            <w:tcW w:type="dxa" w:w="8640"/>
            <w:shd w:fill="FFFFFF"/>
            <w:tcMar>
              <w:top w:w="85" w:type="dxa"/>
              <w:start w:w="95" w:type="dxa"/>
              <w:bottom w:w="85" w:type="dxa"/>
              <w:end w:w="95" w:type="dxa"/>
            </w:tcMar>
          </w:tcPr>
          <w:p>
            <w:r>
              <w:rPr>
                <w:rFonts w:ascii="Aptos" w:hAnsi="Aptos"/>
                <w:color w:val="1D242B"/>
                <w:sz w:val="18"/>
              </w:rPr>
              <w:t>Verify the controlling facts in the authoritative system: eligibility, payer, authorization, provider status, EVV, claim data, documentation, or filing history.</w:t>
            </w:r>
          </w:p>
        </w:tc>
      </w:tr>
      <w:tr>
        <w:trPr>
          <w:cantSplit/>
        </w:trPr>
        <w:tc>
          <w:tcPr>
            <w:tcW w:type="dxa" w:w="1512"/>
            <w:shd w:fill="0B213B"/>
            <w:tcMar>
              <w:top w:w="85" w:type="dxa"/>
              <w:start w:w="95" w:type="dxa"/>
              <w:bottom w:w="85" w:type="dxa"/>
              <w:end w:w="95" w:type="dxa"/>
            </w:tcMar>
          </w:tcPr>
          <w:p>
            <w:r>
              <w:rPr>
                <w:rFonts w:ascii="Aptos" w:hAnsi="Aptos"/>
                <w:b/>
                <w:color w:val="FFFFFF"/>
                <w:sz w:val="18"/>
              </w:rPr>
              <w:t>3  DIAGNOSE</w:t>
            </w:r>
          </w:p>
        </w:tc>
        <w:tc>
          <w:tcPr>
            <w:tcW w:type="dxa" w:w="8640"/>
            <w:shd w:fill="F3F5F7"/>
            <w:tcMar>
              <w:top w:w="85" w:type="dxa"/>
              <w:start w:w="95" w:type="dxa"/>
              <w:bottom w:w="85" w:type="dxa"/>
              <w:end w:w="95" w:type="dxa"/>
            </w:tcMar>
          </w:tcPr>
          <w:p>
            <w:r>
              <w:rPr>
                <w:rFonts w:ascii="Aptos" w:hAnsi="Aptos"/>
                <w:color w:val="1D242B"/>
                <w:sz w:val="18"/>
              </w:rPr>
              <w:t>Identify the earliest point in the revenue cycle where the facts stopped supporting payment. That is usually closer to the root cause than the denial code itself.</w:t>
            </w:r>
          </w:p>
        </w:tc>
      </w:tr>
      <w:tr>
        <w:trPr>
          <w:cantSplit/>
        </w:trPr>
        <w:tc>
          <w:tcPr>
            <w:tcW w:type="dxa" w:w="1512"/>
            <w:shd w:fill="173A5E"/>
            <w:tcMar>
              <w:top w:w="85" w:type="dxa"/>
              <w:start w:w="95" w:type="dxa"/>
              <w:bottom w:w="85" w:type="dxa"/>
              <w:end w:w="95" w:type="dxa"/>
            </w:tcMar>
          </w:tcPr>
          <w:p>
            <w:r>
              <w:rPr>
                <w:rFonts w:ascii="Aptos" w:hAnsi="Aptos"/>
                <w:b/>
                <w:color w:val="FFFFFF"/>
                <w:sz w:val="18"/>
              </w:rPr>
              <w:t>4  CHOOSE</w:t>
            </w:r>
          </w:p>
        </w:tc>
        <w:tc>
          <w:tcPr>
            <w:tcW w:type="dxa" w:w="8640"/>
            <w:shd w:fill="FFFFFF"/>
            <w:tcMar>
              <w:top w:w="85" w:type="dxa"/>
              <w:start w:w="95" w:type="dxa"/>
              <w:bottom w:w="85" w:type="dxa"/>
              <w:end w:w="95" w:type="dxa"/>
            </w:tcMar>
          </w:tcPr>
          <w:p>
            <w:r>
              <w:rPr>
                <w:rFonts w:ascii="Aptos" w:hAnsi="Aptos"/>
                <w:color w:val="1D242B"/>
                <w:sz w:val="18"/>
              </w:rPr>
              <w:t>Select the correct path: corrected claim, replacement/void, resubmission, requested documentation, payer correction, appeal/dispute, or escalation.</w:t>
            </w:r>
          </w:p>
        </w:tc>
      </w:tr>
      <w:tr>
        <w:trPr>
          <w:cantSplit/>
        </w:trPr>
        <w:tc>
          <w:tcPr>
            <w:tcW w:type="dxa" w:w="1512"/>
            <w:shd w:fill="0B213B"/>
            <w:tcMar>
              <w:top w:w="85" w:type="dxa"/>
              <w:start w:w="95" w:type="dxa"/>
              <w:bottom w:w="85" w:type="dxa"/>
              <w:end w:w="95" w:type="dxa"/>
            </w:tcMar>
          </w:tcPr>
          <w:p>
            <w:r>
              <w:rPr>
                <w:rFonts w:ascii="Aptos" w:hAnsi="Aptos"/>
                <w:b/>
                <w:color w:val="FFFFFF"/>
                <w:sz w:val="18"/>
              </w:rPr>
              <w:t>5  DOCUMENT</w:t>
            </w:r>
          </w:p>
        </w:tc>
        <w:tc>
          <w:tcPr>
            <w:tcW w:type="dxa" w:w="8640"/>
            <w:shd w:fill="F3F5F7"/>
            <w:tcMar>
              <w:top w:w="85" w:type="dxa"/>
              <w:start w:w="95" w:type="dxa"/>
              <w:bottom w:w="85" w:type="dxa"/>
              <w:end w:w="95" w:type="dxa"/>
            </w:tcMar>
          </w:tcPr>
          <w:p>
            <w:r>
              <w:rPr>
                <w:rFonts w:ascii="Aptos" w:hAnsi="Aptos"/>
                <w:color w:val="1D242B"/>
                <w:sz w:val="18"/>
              </w:rPr>
              <w:t>Retain the denial, evidence reviewed, action taken, submission/confirmation evidence, and follow-up date in the approved system of record.</w:t>
            </w:r>
          </w:p>
        </w:tc>
      </w:tr>
      <w:tr>
        <w:trPr>
          <w:cantSplit/>
        </w:trPr>
        <w:tc>
          <w:tcPr>
            <w:tcW w:type="dxa" w:w="1512"/>
            <w:shd w:fill="173A5E"/>
            <w:tcMar>
              <w:top w:w="85" w:type="dxa"/>
              <w:start w:w="95" w:type="dxa"/>
              <w:bottom w:w="85" w:type="dxa"/>
              <w:end w:w="95" w:type="dxa"/>
            </w:tcMar>
          </w:tcPr>
          <w:p>
            <w:r>
              <w:rPr>
                <w:rFonts w:ascii="Aptos" w:hAnsi="Aptos"/>
                <w:b/>
                <w:color w:val="FFFFFF"/>
                <w:sz w:val="18"/>
              </w:rPr>
              <w:t>6  PREVENT</w:t>
            </w:r>
          </w:p>
        </w:tc>
        <w:tc>
          <w:tcPr>
            <w:tcW w:type="dxa" w:w="8640"/>
            <w:shd w:fill="FFFFFF"/>
            <w:tcMar>
              <w:top w:w="85" w:type="dxa"/>
              <w:start w:w="95" w:type="dxa"/>
              <w:bottom w:w="85" w:type="dxa"/>
              <w:end w:w="95" w:type="dxa"/>
            </w:tcMar>
          </w:tcPr>
          <w:p>
            <w:r>
              <w:rPr>
                <w:rFonts w:ascii="Aptos" w:hAnsi="Aptos"/>
                <w:color w:val="1D242B"/>
                <w:sz w:val="18"/>
              </w:rPr>
              <w:t>If the issue is repeatable, correct the upstream control. A denial resolved without prevention is only half resolved.</w:t>
            </w:r>
          </w:p>
        </w:tc>
      </w:tr>
    </w:tbl>
    <w:p>
      <w:pPr>
        <w:pStyle w:val="Heading2"/>
        <w:keepNext/>
        <w:widowControl/>
        <w:spacing w:before="100" w:after="100"/>
      </w:pPr>
      <w:r>
        <w:rPr>
          <w:rFonts w:ascii="Aptos" w:hAnsi="Aptos"/>
          <w:b/>
          <w:color w:val="0B213B"/>
          <w:sz w:val="25"/>
        </w:rPr>
        <w:t>Quick decision rule</w:t>
      </w:r>
    </w:p>
    <w:tbl>
      <w:tblPr>
        <w:tblW w:type="auto" w:w="0"/>
        <w:jc w:val="center"/>
        <w:tblLayout w:type="fixed"/>
        <w:tblLook w:firstColumn="1" w:firstRow="1" w:lastColumn="0" w:lastRow="0" w:noHBand="0" w:noVBand="1" w:val="04A0"/>
      </w:tblPr>
      <w:tblGrid>
        <w:gridCol w:w="10454"/>
      </w:tblGrid>
      <w:tr>
        <w:trPr>
          <w:cantSplit/>
        </w:trPr>
        <w:tc>
          <w:tcPr>
            <w:tcW w:type="dxa" w:w="10454"/>
            <w:shd w:fill="EAF4EA"/>
            <w:tcMar>
              <w:top w:w="120" w:type="dxa"/>
              <w:start w:w="140" w:type="dxa"/>
              <w:bottom w:w="120" w:type="dxa"/>
              <w:end w:w="140" w:type="dxa"/>
            </w:tcMar>
            <w:tcBorders>
              <w:left w:val="single" w:sz="18" w:color="3D6B3D"/>
            </w:tcBorders>
          </w:tcPr>
          <w:p>
            <w:pPr>
              <w:spacing w:after="80"/>
            </w:pPr>
            <w:r>
              <w:rPr>
                <w:rFonts w:ascii="Aptos" w:hAnsi="Aptos"/>
                <w:b/>
                <w:color w:val="3D6B3D"/>
                <w:sz w:val="21"/>
              </w:rPr>
              <w:t>CORRECT IT when the payer is right and the claim can be fixed.</w:t>
            </w:r>
          </w:p>
          <w:p>
            <w:pPr>
              <w:spacing w:after="0"/>
            </w:pPr>
            <w:r>
              <w:rPr>
                <w:rFonts w:ascii="Aptos" w:hAnsi="Aptos"/>
                <w:color w:val="1D242B"/>
                <w:sz w:val="19"/>
              </w:rPr>
              <w:t>Examples: invalid or missing claim data, wrong payer routing, correctable modifier/code issue, duplicate created by billing workflow, or missing requested information.</w:t>
            </w:r>
          </w:p>
        </w:tc>
      </w:tr>
    </w:tbl>
    <w:p>
      <w:pPr>
        <w:widowControl/>
        <w:spacing w:after="20"/>
      </w:pPr>
    </w:p>
    <w:tbl>
      <w:tblPr>
        <w:tblW w:type="auto" w:w="0"/>
        <w:jc w:val="center"/>
        <w:tblLayout w:type="fixed"/>
        <w:tblLook w:firstColumn="1" w:firstRow="1" w:lastColumn="0" w:lastRow="0" w:noHBand="0" w:noVBand="1" w:val="04A0"/>
      </w:tblPr>
      <w:tblGrid>
        <w:gridCol w:w="10454"/>
      </w:tblGrid>
      <w:tr>
        <w:trPr>
          <w:cantSplit/>
        </w:trPr>
        <w:tc>
          <w:tcPr>
            <w:tcW w:type="dxa" w:w="10454"/>
            <w:shd w:fill="F7F0D8"/>
            <w:tcMar>
              <w:top w:w="120" w:type="dxa"/>
              <w:start w:w="140" w:type="dxa"/>
              <w:bottom w:w="120" w:type="dxa"/>
              <w:end w:w="140" w:type="dxa"/>
            </w:tcMar>
            <w:tcBorders>
              <w:left w:val="single" w:sz="18" w:color="C9A227"/>
            </w:tcBorders>
          </w:tcPr>
          <w:p>
            <w:pPr>
              <w:spacing w:after="80"/>
            </w:pPr>
            <w:r>
              <w:rPr>
                <w:rFonts w:ascii="Aptos" w:hAnsi="Aptos"/>
                <w:b/>
                <w:color w:val="C9A227"/>
                <w:sz w:val="21"/>
              </w:rPr>
              <w:t>APPEAL OR DISPUTE when the payer decision appears wrong after verification.</w:t>
            </w:r>
          </w:p>
          <w:p>
            <w:pPr>
              <w:spacing w:after="0"/>
            </w:pPr>
            <w:r>
              <w:rPr>
                <w:rFonts w:ascii="Aptos" w:hAnsi="Aptos"/>
                <w:color w:val="1D242B"/>
                <w:sz w:val="19"/>
              </w:rPr>
              <w:t>Examples: valid authorization not recognized, timely filing proven, contract/rate applied incorrectly, or documentation supports the billed service and the payer maintained an adverse decision.</w:t>
            </w:r>
          </w:p>
        </w:tc>
      </w:tr>
    </w:tbl>
    <w:p>
      <w:pPr>
        <w:widowControl/>
        <w:spacing w:after="20"/>
      </w:pPr>
    </w:p>
    <w:tbl>
      <w:tblPr>
        <w:tblW w:type="auto" w:w="0"/>
        <w:jc w:val="center"/>
        <w:tblLayout w:type="fixed"/>
        <w:tblLook w:firstColumn="1" w:firstRow="1" w:lastColumn="0" w:lastRow="0" w:noHBand="0" w:noVBand="1" w:val="04A0"/>
      </w:tblPr>
      <w:tblGrid>
        <w:gridCol w:w="10454"/>
      </w:tblGrid>
      <w:tr>
        <w:trPr>
          <w:cantSplit/>
        </w:trPr>
        <w:tc>
          <w:tcPr>
            <w:tcW w:type="dxa" w:w="10454"/>
            <w:shd w:fill="F8E7E7"/>
            <w:tcMar>
              <w:top w:w="120" w:type="dxa"/>
              <w:start w:w="140" w:type="dxa"/>
              <w:bottom w:w="120" w:type="dxa"/>
              <w:end w:w="140" w:type="dxa"/>
            </w:tcMar>
            <w:tcBorders>
              <w:left w:val="single" w:sz="18" w:color="9A3D3D"/>
            </w:tcBorders>
          </w:tcPr>
          <w:p>
            <w:pPr>
              <w:spacing w:after="80"/>
            </w:pPr>
            <w:r>
              <w:rPr>
                <w:rFonts w:ascii="Aptos" w:hAnsi="Aptos"/>
                <w:b/>
                <w:color w:val="9A3D3D"/>
                <w:sz w:val="21"/>
              </w:rPr>
              <w:t>HOLD when a required fact is still unresolved.</w:t>
            </w:r>
          </w:p>
          <w:p>
            <w:pPr>
              <w:spacing w:after="0"/>
            </w:pPr>
            <w:r>
              <w:rPr>
                <w:rFonts w:ascii="Aptos" w:hAnsi="Aptos"/>
                <w:color w:val="1D242B"/>
                <w:sz w:val="19"/>
              </w:rPr>
              <w:t>Do not submit another claim merely to “try again.” Repeated submissions can create duplicates, confuse the claim history, and weaken the audit trail.</w:t>
            </w:r>
          </w:p>
        </w:tc>
      </w:tr>
    </w:tbl>
    <w:p>
      <w:pPr>
        <w:widowControl/>
        <w:spacing w:after="20"/>
      </w:pPr>
    </w:p>
    <w:p>
      <w:pPr>
        <w:pStyle w:val="Heading1"/>
        <w:keepNext/>
        <w:widowControl/>
        <w:spacing w:before="140" w:after="100"/>
      </w:pPr>
      <w:r>
        <w:rPr>
          <w:rFonts w:ascii="Aptos" w:hAnsi="Aptos"/>
          <w:b/>
          <w:color w:val="0B213B"/>
          <w:sz w:val="32"/>
        </w:rPr>
        <w:t>2. Diagnose the Denial by Failure Category</w:t>
      </w:r>
    </w:p>
    <w:p>
      <w:pPr>
        <w:keepNext w:val="0"/>
        <w:widowControl/>
        <w:spacing w:after="120"/>
      </w:pPr>
      <w:r>
        <w:rPr>
          <w:rFonts w:ascii="Aptos" w:hAnsi="Aptos"/>
          <w:color w:val="1D242B"/>
          <w:sz w:val="20"/>
        </w:rPr>
        <w:t>Use the denial message to choose a starting point, then verify against the source that actually controls the issue. The same CARC can have different operational causes in different states or payer environments.</w:t>
      </w:r>
    </w:p>
    <w:tbl>
      <w:tblPr>
        <w:tblW w:type="auto" w:w="0"/>
        <w:jc w:val="center"/>
        <w:tblLayout w:type="fixed"/>
        <w:tblLook w:firstColumn="1" w:firstRow="1" w:lastColumn="0" w:lastRow="0" w:noHBand="0" w:noVBand="1" w:val="04A0"/>
      </w:tblPr>
      <w:tblGrid>
        <w:gridCol w:w="2091"/>
        <w:gridCol w:w="2091"/>
        <w:gridCol w:w="2091"/>
        <w:gridCol w:w="2091"/>
        <w:gridCol w:w="2091"/>
      </w:tblGrid>
      <w:tr>
        <w:trPr>
          <w:cantSplit/>
        </w:trPr>
        <w:tc>
          <w:tcPr>
            <w:tcW w:type="dxa" w:w="1512"/>
            <w:shd w:fill="0B213B"/>
            <w:tcMar>
              <w:top w:w="80" w:type="dxa"/>
              <w:start w:w="80" w:type="dxa"/>
              <w:bottom w:w="80" w:type="dxa"/>
              <w:end w:w="80" w:type="dxa"/>
            </w:tcMar>
          </w:tcPr>
          <w:p>
            <w:pPr>
              <w:jc w:val="center"/>
            </w:pPr>
            <w:r>
              <w:rPr>
                <w:rFonts w:ascii="Aptos" w:hAnsi="Aptos"/>
                <w:b/>
                <w:color w:val="FFFFFF"/>
                <w:sz w:val="17"/>
              </w:rPr>
              <w:t>Denial signal</w:t>
            </w:r>
          </w:p>
        </w:tc>
        <w:tc>
          <w:tcPr>
            <w:tcW w:type="dxa" w:w="2333"/>
            <w:shd w:fill="0B213B"/>
            <w:tcMar>
              <w:top w:w="80" w:type="dxa"/>
              <w:start w:w="80" w:type="dxa"/>
              <w:bottom w:w="80" w:type="dxa"/>
              <w:end w:w="80" w:type="dxa"/>
            </w:tcMar>
          </w:tcPr>
          <w:p>
            <w:pPr>
              <w:jc w:val="center"/>
            </w:pPr>
            <w:r>
              <w:rPr>
                <w:rFonts w:ascii="Aptos" w:hAnsi="Aptos"/>
                <w:b/>
                <w:color w:val="FFFFFF"/>
                <w:sz w:val="17"/>
              </w:rPr>
              <w:t>Verify first</w:t>
            </w:r>
          </w:p>
        </w:tc>
        <w:tc>
          <w:tcPr>
            <w:tcW w:type="dxa" w:w="2232"/>
            <w:shd w:fill="0B213B"/>
            <w:tcMar>
              <w:top w:w="80" w:type="dxa"/>
              <w:start w:w="80" w:type="dxa"/>
              <w:bottom w:w="80" w:type="dxa"/>
              <w:end w:w="80" w:type="dxa"/>
            </w:tcMar>
          </w:tcPr>
          <w:p>
            <w:pPr>
              <w:jc w:val="center"/>
            </w:pPr>
            <w:r>
              <w:rPr>
                <w:rFonts w:ascii="Aptos" w:hAnsi="Aptos"/>
                <w:b/>
                <w:color w:val="FFFFFF"/>
                <w:sz w:val="17"/>
              </w:rPr>
              <w:t>Likely action</w:t>
            </w:r>
          </w:p>
        </w:tc>
        <w:tc>
          <w:tcPr>
            <w:tcW w:type="dxa" w:w="2102"/>
            <w:shd w:fill="0B213B"/>
            <w:tcMar>
              <w:top w:w="80" w:type="dxa"/>
              <w:start w:w="80" w:type="dxa"/>
              <w:bottom w:w="80" w:type="dxa"/>
              <w:end w:w="80" w:type="dxa"/>
            </w:tcMar>
          </w:tcPr>
          <w:p>
            <w:pPr>
              <w:jc w:val="center"/>
            </w:pPr>
            <w:r>
              <w:rPr>
                <w:rFonts w:ascii="Aptos" w:hAnsi="Aptos"/>
                <w:b/>
                <w:color w:val="FFFFFF"/>
                <w:sz w:val="17"/>
              </w:rPr>
              <w:t>Evidence to retain</w:t>
            </w:r>
          </w:p>
        </w:tc>
        <w:tc>
          <w:tcPr>
            <w:tcW w:type="dxa" w:w="2045"/>
            <w:shd w:fill="0B213B"/>
            <w:tcMar>
              <w:top w:w="80" w:type="dxa"/>
              <w:start w:w="80" w:type="dxa"/>
              <w:bottom w:w="80" w:type="dxa"/>
              <w:end w:w="80" w:type="dxa"/>
            </w:tcMar>
          </w:tcPr>
          <w:p>
            <w:pPr>
              <w:jc w:val="center"/>
            </w:pPr>
            <w:r>
              <w:rPr>
                <w:rFonts w:ascii="Aptos" w:hAnsi="Aptos"/>
                <w:b/>
                <w:color w:val="FFFFFF"/>
                <w:sz w:val="17"/>
              </w:rPr>
              <w:t>Prevention</w:t>
            </w:r>
          </w:p>
        </w:tc>
      </w:tr>
      <w:tr>
        <w:trPr>
          <w:cantSplit/>
        </w:trPr>
        <w:tc>
          <w:tcPr>
            <w:tcW w:type="dxa" w:w="1512"/>
            <w:tcMar>
              <w:top w:w="70" w:type="dxa"/>
              <w:start w:w="75" w:type="dxa"/>
              <w:bottom w:w="70" w:type="dxa"/>
              <w:end w:w="75" w:type="dxa"/>
            </w:tcMar>
            <w:vAlign w:val="top"/>
          </w:tcPr>
          <w:p>
            <w:pPr>
              <w:spacing w:after="0"/>
            </w:pPr>
            <w:r>
              <w:rPr>
                <w:rFonts w:ascii="Aptos" w:hAnsi="Aptos"/>
                <w:b/>
                <w:color w:val="1D242B"/>
                <w:sz w:val="16"/>
              </w:rPr>
              <w:t>Eligibility / coverage</w:t>
            </w:r>
          </w:p>
        </w:tc>
        <w:tc>
          <w:tcPr>
            <w:tcW w:type="dxa" w:w="2333"/>
            <w:tcMar>
              <w:top w:w="70" w:type="dxa"/>
              <w:start w:w="75" w:type="dxa"/>
              <w:bottom w:w="70" w:type="dxa"/>
              <w:end w:w="75" w:type="dxa"/>
            </w:tcMar>
            <w:vAlign w:val="top"/>
          </w:tcPr>
          <w:p>
            <w:pPr>
              <w:spacing w:after="0"/>
            </w:pPr>
            <w:r>
              <w:rPr>
                <w:rFonts w:ascii="Aptos" w:hAnsi="Aptos"/>
                <w:b w:val="0"/>
                <w:color w:val="1D242B"/>
                <w:sz w:val="16"/>
              </w:rPr>
              <w:t>Eligibility and coverage on the date of service; program/benefit; spend-down or other applicable status; retroactive changes.</w:t>
            </w:r>
          </w:p>
        </w:tc>
        <w:tc>
          <w:tcPr>
            <w:tcW w:type="dxa" w:w="2232"/>
            <w:tcMar>
              <w:top w:w="70" w:type="dxa"/>
              <w:start w:w="75" w:type="dxa"/>
              <w:bottom w:w="70" w:type="dxa"/>
              <w:end w:w="75" w:type="dxa"/>
            </w:tcMar>
            <w:vAlign w:val="top"/>
          </w:tcPr>
          <w:p>
            <w:pPr>
              <w:spacing w:after="0"/>
            </w:pPr>
            <w:r>
              <w:rPr>
                <w:rFonts w:ascii="Aptos" w:hAnsi="Aptos"/>
                <w:b w:val="0"/>
                <w:color w:val="1D242B"/>
                <w:sz w:val="16"/>
              </w:rPr>
              <w:t>Correct payer/coverage data, rebill when permitted, or escalate eligibility discrepancies.</w:t>
            </w:r>
          </w:p>
        </w:tc>
        <w:tc>
          <w:tcPr>
            <w:tcW w:type="dxa" w:w="2102"/>
            <w:tcMar>
              <w:top w:w="70" w:type="dxa"/>
              <w:start w:w="75" w:type="dxa"/>
              <w:bottom w:w="70" w:type="dxa"/>
              <w:end w:w="75" w:type="dxa"/>
            </w:tcMar>
            <w:vAlign w:val="top"/>
          </w:tcPr>
          <w:p>
            <w:pPr>
              <w:spacing w:after="0"/>
            </w:pPr>
            <w:r>
              <w:rPr>
                <w:rFonts w:ascii="Aptos" w:hAnsi="Aptos"/>
                <w:b w:val="0"/>
                <w:color w:val="1D242B"/>
                <w:sz w:val="16"/>
              </w:rPr>
              <w:t>Eligibility response or portal evidence, dates checked, payer confirmation.</w:t>
            </w:r>
          </w:p>
        </w:tc>
        <w:tc>
          <w:tcPr>
            <w:tcW w:type="dxa" w:w="2045"/>
            <w:tcMar>
              <w:top w:w="70" w:type="dxa"/>
              <w:start w:w="75" w:type="dxa"/>
              <w:bottom w:w="70" w:type="dxa"/>
              <w:end w:w="75" w:type="dxa"/>
            </w:tcMar>
            <w:vAlign w:val="top"/>
          </w:tcPr>
          <w:p>
            <w:pPr>
              <w:spacing w:after="0"/>
            </w:pPr>
            <w:r>
              <w:rPr>
                <w:rFonts w:ascii="Aptos" w:hAnsi="Aptos"/>
                <w:b w:val="0"/>
                <w:color w:val="1D242B"/>
                <w:sz w:val="16"/>
              </w:rPr>
              <w:t>Pre-service eligibility verification and exception workflow.</w:t>
            </w:r>
          </w:p>
        </w:tc>
      </w:tr>
      <w:tr>
        <w:trPr>
          <w:cantSplit/>
        </w:trPr>
        <w:tc>
          <w:tcPr>
            <w:tcW w:type="dxa" w:w="1512"/>
            <w:tcMar>
              <w:top w:w="70" w:type="dxa"/>
              <w:start w:w="75" w:type="dxa"/>
              <w:bottom w:w="70" w:type="dxa"/>
              <w:end w:w="75" w:type="dxa"/>
            </w:tcMar>
            <w:shd w:fill="F3F5F7"/>
            <w:vAlign w:val="top"/>
          </w:tcPr>
          <w:p>
            <w:pPr>
              <w:spacing w:after="0"/>
            </w:pPr>
            <w:r>
              <w:rPr>
                <w:rFonts w:ascii="Aptos" w:hAnsi="Aptos"/>
                <w:b/>
                <w:color w:val="1D242B"/>
                <w:sz w:val="16"/>
              </w:rPr>
              <w:t>Wrong payer / routing</w:t>
            </w:r>
          </w:p>
        </w:tc>
        <w:tc>
          <w:tcPr>
            <w:tcW w:type="dxa" w:w="2333"/>
            <w:tcMar>
              <w:top w:w="70" w:type="dxa"/>
              <w:start w:w="75" w:type="dxa"/>
              <w:bottom w:w="70" w:type="dxa"/>
              <w:end w:w="75" w:type="dxa"/>
            </w:tcMar>
            <w:shd w:fill="F3F5F7"/>
            <w:vAlign w:val="top"/>
          </w:tcPr>
          <w:p>
            <w:pPr>
              <w:spacing w:after="0"/>
            </w:pPr>
            <w:r>
              <w:rPr>
                <w:rFonts w:ascii="Aptos" w:hAnsi="Aptos"/>
                <w:b w:val="0"/>
                <w:color w:val="1D242B"/>
                <w:sz w:val="16"/>
              </w:rPr>
              <w:t>Member plan assignment, MCO effective dates, FFS vs managed care lane, payer ID/routing.</w:t>
            </w:r>
          </w:p>
        </w:tc>
        <w:tc>
          <w:tcPr>
            <w:tcW w:type="dxa" w:w="2232"/>
            <w:tcMar>
              <w:top w:w="70" w:type="dxa"/>
              <w:start w:w="75" w:type="dxa"/>
              <w:bottom w:w="70" w:type="dxa"/>
              <w:end w:w="75" w:type="dxa"/>
            </w:tcMar>
            <w:shd w:fill="F3F5F7"/>
            <w:vAlign w:val="top"/>
          </w:tcPr>
          <w:p>
            <w:pPr>
              <w:spacing w:after="0"/>
            </w:pPr>
            <w:r>
              <w:rPr>
                <w:rFonts w:ascii="Aptos" w:hAnsi="Aptos"/>
                <w:b w:val="0"/>
                <w:color w:val="1D242B"/>
                <w:sz w:val="16"/>
              </w:rPr>
              <w:t>Route to correct payer; correct claim routing; coordinate payer corrections if assignment is wrong.</w:t>
            </w:r>
          </w:p>
        </w:tc>
        <w:tc>
          <w:tcPr>
            <w:tcW w:type="dxa" w:w="2102"/>
            <w:tcMar>
              <w:top w:w="70" w:type="dxa"/>
              <w:start w:w="75" w:type="dxa"/>
              <w:bottom w:w="70" w:type="dxa"/>
              <w:end w:w="75" w:type="dxa"/>
            </w:tcMar>
            <w:shd w:fill="F3F5F7"/>
            <w:vAlign w:val="top"/>
          </w:tcPr>
          <w:p>
            <w:pPr>
              <w:spacing w:after="0"/>
            </w:pPr>
            <w:r>
              <w:rPr>
                <w:rFonts w:ascii="Aptos" w:hAnsi="Aptos"/>
                <w:b w:val="0"/>
                <w:color w:val="1D242B"/>
                <w:sz w:val="16"/>
              </w:rPr>
              <w:t>Eligibility/payer evidence, original submission, corrected routing confirmation.</w:t>
            </w:r>
          </w:p>
        </w:tc>
        <w:tc>
          <w:tcPr>
            <w:tcW w:type="dxa" w:w="2045"/>
            <w:tcMar>
              <w:top w:w="70" w:type="dxa"/>
              <w:start w:w="75" w:type="dxa"/>
              <w:bottom w:w="70" w:type="dxa"/>
              <w:end w:w="75" w:type="dxa"/>
            </w:tcMar>
            <w:shd w:fill="F3F5F7"/>
            <w:vAlign w:val="top"/>
          </w:tcPr>
          <w:p>
            <w:pPr>
              <w:spacing w:after="0"/>
            </w:pPr>
            <w:r>
              <w:rPr>
                <w:rFonts w:ascii="Aptos" w:hAnsi="Aptos"/>
                <w:b w:val="0"/>
                <w:color w:val="1D242B"/>
                <w:sz w:val="16"/>
              </w:rPr>
              <w:t>Payer-lane verification before claim release.</w:t>
            </w:r>
          </w:p>
        </w:tc>
      </w:tr>
      <w:tr>
        <w:trPr>
          <w:cantSplit/>
        </w:trPr>
        <w:tc>
          <w:tcPr>
            <w:tcW w:type="dxa" w:w="1512"/>
            <w:tcMar>
              <w:top w:w="70" w:type="dxa"/>
              <w:start w:w="75" w:type="dxa"/>
              <w:bottom w:w="70" w:type="dxa"/>
              <w:end w:w="75" w:type="dxa"/>
            </w:tcMar>
            <w:vAlign w:val="top"/>
          </w:tcPr>
          <w:p>
            <w:pPr>
              <w:spacing w:after="0"/>
            </w:pPr>
            <w:r>
              <w:rPr>
                <w:rFonts w:ascii="Aptos" w:hAnsi="Aptos"/>
                <w:b/>
                <w:color w:val="1D242B"/>
                <w:sz w:val="16"/>
              </w:rPr>
              <w:t>Provider enrollment / network</w:t>
            </w:r>
          </w:p>
        </w:tc>
        <w:tc>
          <w:tcPr>
            <w:tcW w:type="dxa" w:w="2333"/>
            <w:tcMar>
              <w:top w:w="70" w:type="dxa"/>
              <w:start w:w="75" w:type="dxa"/>
              <w:bottom w:w="70" w:type="dxa"/>
              <w:end w:w="75" w:type="dxa"/>
            </w:tcMar>
            <w:vAlign w:val="top"/>
          </w:tcPr>
          <w:p>
            <w:pPr>
              <w:spacing w:after="0"/>
            </w:pPr>
            <w:r>
              <w:rPr>
                <w:rFonts w:ascii="Aptos" w:hAnsi="Aptos"/>
                <w:b w:val="0"/>
                <w:color w:val="1D242B"/>
                <w:sz w:val="16"/>
              </w:rPr>
              <w:t>Provider enrollment effective date, service/location/NPI linkage, taxonomy if applicable, MCO credentialing/network status.</w:t>
            </w:r>
          </w:p>
        </w:tc>
        <w:tc>
          <w:tcPr>
            <w:tcW w:type="dxa" w:w="2232"/>
            <w:tcMar>
              <w:top w:w="70" w:type="dxa"/>
              <w:start w:w="75" w:type="dxa"/>
              <w:bottom w:w="70" w:type="dxa"/>
              <w:end w:w="75" w:type="dxa"/>
            </w:tcMar>
            <w:vAlign w:val="top"/>
          </w:tcPr>
          <w:p>
            <w:pPr>
              <w:spacing w:after="0"/>
            </w:pPr>
            <w:r>
              <w:rPr>
                <w:rFonts w:ascii="Aptos" w:hAnsi="Aptos"/>
                <w:b w:val="0"/>
                <w:color w:val="1D242B"/>
                <w:sz w:val="16"/>
              </w:rPr>
              <w:t>Correct enrollment/configuration issue or escalate payer/state mismatch before rebilling.</w:t>
            </w:r>
          </w:p>
        </w:tc>
        <w:tc>
          <w:tcPr>
            <w:tcW w:type="dxa" w:w="2102"/>
            <w:tcMar>
              <w:top w:w="70" w:type="dxa"/>
              <w:start w:w="75" w:type="dxa"/>
              <w:bottom w:w="70" w:type="dxa"/>
              <w:end w:w="75" w:type="dxa"/>
            </w:tcMar>
            <w:vAlign w:val="top"/>
          </w:tcPr>
          <w:p>
            <w:pPr>
              <w:spacing w:after="0"/>
            </w:pPr>
            <w:r>
              <w:rPr>
                <w:rFonts w:ascii="Aptos" w:hAnsi="Aptos"/>
                <w:b w:val="0"/>
                <w:color w:val="1D242B"/>
                <w:sz w:val="16"/>
              </w:rPr>
              <w:t>Enrollment confirmation, effective dates, network/contract evidence.</w:t>
            </w:r>
          </w:p>
        </w:tc>
        <w:tc>
          <w:tcPr>
            <w:tcW w:type="dxa" w:w="2045"/>
            <w:tcMar>
              <w:top w:w="70" w:type="dxa"/>
              <w:start w:w="75" w:type="dxa"/>
              <w:bottom w:w="70" w:type="dxa"/>
              <w:end w:w="75" w:type="dxa"/>
            </w:tcMar>
            <w:vAlign w:val="top"/>
          </w:tcPr>
          <w:p>
            <w:pPr>
              <w:spacing w:after="0"/>
            </w:pPr>
            <w:r>
              <w:rPr>
                <w:rFonts w:ascii="Aptos" w:hAnsi="Aptos"/>
                <w:b w:val="0"/>
                <w:color w:val="1D242B"/>
                <w:sz w:val="16"/>
              </w:rPr>
              <w:t>Provider readiness review and revalidation monitoring.</w:t>
            </w:r>
          </w:p>
        </w:tc>
      </w:tr>
      <w:tr>
        <w:trPr>
          <w:cantSplit/>
        </w:trPr>
        <w:tc>
          <w:tcPr>
            <w:tcW w:type="dxa" w:w="1512"/>
            <w:tcMar>
              <w:top w:w="70" w:type="dxa"/>
              <w:start w:w="75" w:type="dxa"/>
              <w:bottom w:w="70" w:type="dxa"/>
              <w:end w:w="75" w:type="dxa"/>
            </w:tcMar>
            <w:shd w:fill="F3F5F7"/>
            <w:vAlign w:val="top"/>
          </w:tcPr>
          <w:p>
            <w:pPr>
              <w:spacing w:after="0"/>
            </w:pPr>
            <w:r>
              <w:rPr>
                <w:rFonts w:ascii="Aptos" w:hAnsi="Aptos"/>
                <w:b/>
                <w:color w:val="1D242B"/>
                <w:sz w:val="16"/>
              </w:rPr>
              <w:t>Authorization</w:t>
            </w:r>
          </w:p>
        </w:tc>
        <w:tc>
          <w:tcPr>
            <w:tcW w:type="dxa" w:w="2333"/>
            <w:tcMar>
              <w:top w:w="70" w:type="dxa"/>
              <w:start w:w="75" w:type="dxa"/>
              <w:bottom w:w="70" w:type="dxa"/>
              <w:end w:w="75" w:type="dxa"/>
            </w:tcMar>
            <w:shd w:fill="F3F5F7"/>
            <w:vAlign w:val="top"/>
          </w:tcPr>
          <w:p>
            <w:pPr>
              <w:spacing w:after="0"/>
            </w:pPr>
            <w:r>
              <w:rPr>
                <w:rFonts w:ascii="Aptos" w:hAnsi="Aptos"/>
                <w:b w:val="0"/>
                <w:color w:val="1D242B"/>
                <w:sz w:val="16"/>
              </w:rPr>
              <w:t>Authorization number, service, member, provider, dates, units, frequency, modifiers and payer applicability.</w:t>
            </w:r>
          </w:p>
        </w:tc>
        <w:tc>
          <w:tcPr>
            <w:tcW w:type="dxa" w:w="2232"/>
            <w:tcMar>
              <w:top w:w="70" w:type="dxa"/>
              <w:start w:w="75" w:type="dxa"/>
              <w:bottom w:w="70" w:type="dxa"/>
              <w:end w:w="75" w:type="dxa"/>
            </w:tcMar>
            <w:shd w:fill="F3F5F7"/>
            <w:vAlign w:val="top"/>
          </w:tcPr>
          <w:p>
            <w:pPr>
              <w:spacing w:after="0"/>
            </w:pPr>
            <w:r>
              <w:rPr>
                <w:rFonts w:ascii="Aptos" w:hAnsi="Aptos"/>
                <w:b w:val="0"/>
                <w:color w:val="1D242B"/>
                <w:sz w:val="16"/>
              </w:rPr>
              <w:t>Correct claim if authorization exists and data mismatched; obtain payer correction; appeal if valid authorization was not honored.</w:t>
            </w:r>
          </w:p>
        </w:tc>
        <w:tc>
          <w:tcPr>
            <w:tcW w:type="dxa" w:w="2102"/>
            <w:tcMar>
              <w:top w:w="70" w:type="dxa"/>
              <w:start w:w="75" w:type="dxa"/>
              <w:bottom w:w="70" w:type="dxa"/>
              <w:end w:w="75" w:type="dxa"/>
            </w:tcMar>
            <w:shd w:fill="F3F5F7"/>
            <w:vAlign w:val="top"/>
          </w:tcPr>
          <w:p>
            <w:pPr>
              <w:spacing w:after="0"/>
            </w:pPr>
            <w:r>
              <w:rPr>
                <w:rFonts w:ascii="Aptos" w:hAnsi="Aptos"/>
                <w:b w:val="0"/>
                <w:color w:val="1D242B"/>
                <w:sz w:val="16"/>
              </w:rPr>
              <w:t>Authorization record, portal screenshot/export, payer communication, corrected claim confirmation.</w:t>
            </w:r>
          </w:p>
        </w:tc>
        <w:tc>
          <w:tcPr>
            <w:tcW w:type="dxa" w:w="2045"/>
            <w:tcMar>
              <w:top w:w="70" w:type="dxa"/>
              <w:start w:w="75" w:type="dxa"/>
              <w:bottom w:w="70" w:type="dxa"/>
              <w:end w:w="75" w:type="dxa"/>
            </w:tcMar>
            <w:shd w:fill="F3F5F7"/>
            <w:vAlign w:val="top"/>
          </w:tcPr>
          <w:p>
            <w:pPr>
              <w:spacing w:after="0"/>
            </w:pPr>
            <w:r>
              <w:rPr>
                <w:rFonts w:ascii="Aptos" w:hAnsi="Aptos"/>
                <w:b w:val="0"/>
                <w:color w:val="1D242B"/>
                <w:sz w:val="16"/>
              </w:rPr>
              <w:t>Authorization-to-service-to-claim reconciliation before billing.</w:t>
            </w:r>
          </w:p>
        </w:tc>
      </w:tr>
      <w:tr>
        <w:trPr>
          <w:cantSplit/>
        </w:trPr>
        <w:tc>
          <w:tcPr>
            <w:tcW w:type="dxa" w:w="1512"/>
            <w:tcMar>
              <w:top w:w="70" w:type="dxa"/>
              <w:start w:w="75" w:type="dxa"/>
              <w:bottom w:w="70" w:type="dxa"/>
              <w:end w:w="75" w:type="dxa"/>
            </w:tcMar>
            <w:vAlign w:val="top"/>
          </w:tcPr>
          <w:p>
            <w:pPr>
              <w:spacing w:after="0"/>
            </w:pPr>
            <w:r>
              <w:rPr>
                <w:rFonts w:ascii="Aptos" w:hAnsi="Aptos"/>
                <w:b/>
                <w:color w:val="1D242B"/>
                <w:sz w:val="16"/>
              </w:rPr>
              <w:t>EVV / visit match</w:t>
            </w:r>
          </w:p>
        </w:tc>
        <w:tc>
          <w:tcPr>
            <w:tcW w:type="dxa" w:w="2333"/>
            <w:tcMar>
              <w:top w:w="70" w:type="dxa"/>
              <w:start w:w="75" w:type="dxa"/>
              <w:bottom w:w="70" w:type="dxa"/>
              <w:end w:w="75" w:type="dxa"/>
            </w:tcMar>
            <w:vAlign w:val="top"/>
          </w:tcPr>
          <w:p>
            <w:pPr>
              <w:spacing w:after="0"/>
            </w:pPr>
            <w:r>
              <w:rPr>
                <w:rFonts w:ascii="Aptos" w:hAnsi="Aptos"/>
                <w:b w:val="0"/>
                <w:color w:val="1D242B"/>
                <w:sz w:val="16"/>
              </w:rPr>
              <w:t>EVV applicability; visit date/time; caregiver/member; service; location; aggregator acceptance; exception resolution; claim-to-visit match.</w:t>
            </w:r>
          </w:p>
        </w:tc>
        <w:tc>
          <w:tcPr>
            <w:tcW w:type="dxa" w:w="2232"/>
            <w:tcMar>
              <w:top w:w="70" w:type="dxa"/>
              <w:start w:w="75" w:type="dxa"/>
              <w:bottom w:w="70" w:type="dxa"/>
              <w:end w:w="75" w:type="dxa"/>
            </w:tcMar>
            <w:vAlign w:val="top"/>
          </w:tcPr>
          <w:p>
            <w:pPr>
              <w:spacing w:after="0"/>
            </w:pPr>
            <w:r>
              <w:rPr>
                <w:rFonts w:ascii="Aptos" w:hAnsi="Aptos"/>
                <w:b w:val="0"/>
                <w:color w:val="1D242B"/>
                <w:sz w:val="16"/>
              </w:rPr>
              <w:t>Resolve legitimate EVV exception or transmission/matching issue, then follow payer/state resubmission rules.</w:t>
            </w:r>
          </w:p>
        </w:tc>
        <w:tc>
          <w:tcPr>
            <w:tcW w:type="dxa" w:w="2102"/>
            <w:tcMar>
              <w:top w:w="70" w:type="dxa"/>
              <w:start w:w="75" w:type="dxa"/>
              <w:bottom w:w="70" w:type="dxa"/>
              <w:end w:w="75" w:type="dxa"/>
            </w:tcMar>
            <w:vAlign w:val="top"/>
          </w:tcPr>
          <w:p>
            <w:pPr>
              <w:spacing w:after="0"/>
            </w:pPr>
            <w:r>
              <w:rPr>
                <w:rFonts w:ascii="Aptos" w:hAnsi="Aptos"/>
                <w:b w:val="0"/>
                <w:color w:val="1D242B"/>
                <w:sz w:val="16"/>
              </w:rPr>
              <w:t>Visit record, exception history, aggregator/payer status, correction evidence.</w:t>
            </w:r>
          </w:p>
        </w:tc>
        <w:tc>
          <w:tcPr>
            <w:tcW w:type="dxa" w:w="2045"/>
            <w:tcMar>
              <w:top w:w="70" w:type="dxa"/>
              <w:start w:w="75" w:type="dxa"/>
              <w:bottom w:w="70" w:type="dxa"/>
              <w:end w:w="75" w:type="dxa"/>
            </w:tcMar>
            <w:vAlign w:val="top"/>
          </w:tcPr>
          <w:p>
            <w:pPr>
              <w:spacing w:after="0"/>
            </w:pPr>
            <w:r>
              <w:rPr>
                <w:rFonts w:ascii="Aptos" w:hAnsi="Aptos"/>
                <w:b w:val="0"/>
                <w:color w:val="1D242B"/>
                <w:sz w:val="16"/>
              </w:rPr>
              <w:t>Pre-bill EVV reconciliation and unresolved-exception hold.</w:t>
            </w:r>
          </w:p>
        </w:tc>
      </w:tr>
    </w:tbl>
    <w:p>
      <w:pPr>
        <w:widowControl/>
        <w:spacing w:after="40"/>
      </w:pPr>
    </w:p>
    <w:p>
      <w:pPr>
        <w:widowControl/>
      </w:pPr>
      <w:r>
        <w:br w:type="page"/>
      </w:r>
    </w:p>
    <w:tbl>
      <w:tblPr>
        <w:tblW w:type="auto" w:w="0"/>
        <w:jc w:val="center"/>
        <w:tblLayout w:type="fixed"/>
        <w:tblLook w:firstColumn="1" w:firstRow="1" w:lastColumn="0" w:lastRow="0" w:noHBand="0" w:noVBand="1" w:val="04A0"/>
      </w:tblPr>
      <w:tblGrid>
        <w:gridCol w:w="2091"/>
        <w:gridCol w:w="2091"/>
        <w:gridCol w:w="2091"/>
        <w:gridCol w:w="2091"/>
        <w:gridCol w:w="2091"/>
      </w:tblGrid>
      <w:tr>
        <w:trPr>
          <w:cantSplit/>
        </w:trPr>
        <w:tc>
          <w:tcPr>
            <w:tcW w:type="dxa" w:w="1512"/>
            <w:shd w:fill="0B213B"/>
            <w:tcMar>
              <w:top w:w="80" w:type="dxa"/>
              <w:start w:w="80" w:type="dxa"/>
              <w:bottom w:w="80" w:type="dxa"/>
              <w:end w:w="80" w:type="dxa"/>
            </w:tcMar>
          </w:tcPr>
          <w:p>
            <w:pPr>
              <w:jc w:val="center"/>
            </w:pPr>
            <w:r>
              <w:rPr>
                <w:rFonts w:ascii="Aptos" w:hAnsi="Aptos"/>
                <w:b/>
                <w:color w:val="FFFFFF"/>
                <w:sz w:val="17"/>
              </w:rPr>
              <w:t>Denial signal</w:t>
            </w:r>
          </w:p>
        </w:tc>
        <w:tc>
          <w:tcPr>
            <w:tcW w:type="dxa" w:w="2333"/>
            <w:shd w:fill="0B213B"/>
            <w:tcMar>
              <w:top w:w="80" w:type="dxa"/>
              <w:start w:w="80" w:type="dxa"/>
              <w:bottom w:w="80" w:type="dxa"/>
              <w:end w:w="80" w:type="dxa"/>
            </w:tcMar>
          </w:tcPr>
          <w:p>
            <w:pPr>
              <w:jc w:val="center"/>
            </w:pPr>
            <w:r>
              <w:rPr>
                <w:rFonts w:ascii="Aptos" w:hAnsi="Aptos"/>
                <w:b/>
                <w:color w:val="FFFFFF"/>
                <w:sz w:val="17"/>
              </w:rPr>
              <w:t>Verify first</w:t>
            </w:r>
          </w:p>
        </w:tc>
        <w:tc>
          <w:tcPr>
            <w:tcW w:type="dxa" w:w="2232"/>
            <w:shd w:fill="0B213B"/>
            <w:tcMar>
              <w:top w:w="80" w:type="dxa"/>
              <w:start w:w="80" w:type="dxa"/>
              <w:bottom w:w="80" w:type="dxa"/>
              <w:end w:w="80" w:type="dxa"/>
            </w:tcMar>
          </w:tcPr>
          <w:p>
            <w:pPr>
              <w:jc w:val="center"/>
            </w:pPr>
            <w:r>
              <w:rPr>
                <w:rFonts w:ascii="Aptos" w:hAnsi="Aptos"/>
                <w:b/>
                <w:color w:val="FFFFFF"/>
                <w:sz w:val="17"/>
              </w:rPr>
              <w:t>Likely action</w:t>
            </w:r>
          </w:p>
        </w:tc>
        <w:tc>
          <w:tcPr>
            <w:tcW w:type="dxa" w:w="2102"/>
            <w:shd w:fill="0B213B"/>
            <w:tcMar>
              <w:top w:w="80" w:type="dxa"/>
              <w:start w:w="80" w:type="dxa"/>
              <w:bottom w:w="80" w:type="dxa"/>
              <w:end w:w="80" w:type="dxa"/>
            </w:tcMar>
          </w:tcPr>
          <w:p>
            <w:pPr>
              <w:jc w:val="center"/>
            </w:pPr>
            <w:r>
              <w:rPr>
                <w:rFonts w:ascii="Aptos" w:hAnsi="Aptos"/>
                <w:b/>
                <w:color w:val="FFFFFF"/>
                <w:sz w:val="17"/>
              </w:rPr>
              <w:t>Evidence to retain</w:t>
            </w:r>
          </w:p>
        </w:tc>
        <w:tc>
          <w:tcPr>
            <w:tcW w:type="dxa" w:w="2045"/>
            <w:shd w:fill="0B213B"/>
            <w:tcMar>
              <w:top w:w="80" w:type="dxa"/>
              <w:start w:w="80" w:type="dxa"/>
              <w:bottom w:w="80" w:type="dxa"/>
              <w:end w:w="80" w:type="dxa"/>
            </w:tcMar>
          </w:tcPr>
          <w:p>
            <w:pPr>
              <w:jc w:val="center"/>
            </w:pPr>
            <w:r>
              <w:rPr>
                <w:rFonts w:ascii="Aptos" w:hAnsi="Aptos"/>
                <w:b/>
                <w:color w:val="FFFFFF"/>
                <w:sz w:val="17"/>
              </w:rPr>
              <w:t>Prevention</w:t>
            </w:r>
          </w:p>
        </w:tc>
      </w:tr>
      <w:tr>
        <w:trPr>
          <w:cantSplit/>
        </w:trPr>
        <w:tc>
          <w:tcPr>
            <w:tcW w:type="dxa" w:w="1512"/>
            <w:tcMar>
              <w:top w:w="70" w:type="dxa"/>
              <w:start w:w="75" w:type="dxa"/>
              <w:bottom w:w="70" w:type="dxa"/>
              <w:end w:w="75" w:type="dxa"/>
            </w:tcMar>
            <w:vAlign w:val="top"/>
          </w:tcPr>
          <w:p>
            <w:pPr>
              <w:spacing w:after="0"/>
            </w:pPr>
            <w:r>
              <w:rPr>
                <w:rFonts w:ascii="Aptos" w:hAnsi="Aptos"/>
                <w:b/>
                <w:color w:val="1D242B"/>
                <w:sz w:val="16"/>
              </w:rPr>
              <w:t>Claim construction</w:t>
            </w:r>
          </w:p>
        </w:tc>
        <w:tc>
          <w:tcPr>
            <w:tcW w:type="dxa" w:w="2333"/>
            <w:tcMar>
              <w:top w:w="70" w:type="dxa"/>
              <w:start w:w="75" w:type="dxa"/>
              <w:bottom w:w="70" w:type="dxa"/>
              <w:end w:w="75" w:type="dxa"/>
            </w:tcMar>
            <w:vAlign w:val="top"/>
          </w:tcPr>
          <w:p>
            <w:pPr>
              <w:spacing w:after="0"/>
            </w:pPr>
            <w:r>
              <w:rPr>
                <w:rFonts w:ascii="Aptos" w:hAnsi="Aptos"/>
                <w:b w:val="0"/>
                <w:color w:val="1D242B"/>
                <w:sz w:val="16"/>
              </w:rPr>
              <w:t>Member/provider identifiers, dates, code/modifier, units, place/service fields, diagnosis when required, authorization linkage, payer-specific fields.</w:t>
            </w:r>
          </w:p>
        </w:tc>
        <w:tc>
          <w:tcPr>
            <w:tcW w:type="dxa" w:w="2232"/>
            <w:tcMar>
              <w:top w:w="70" w:type="dxa"/>
              <w:start w:w="75" w:type="dxa"/>
              <w:bottom w:w="70" w:type="dxa"/>
              <w:end w:w="75" w:type="dxa"/>
            </w:tcMar>
            <w:vAlign w:val="top"/>
          </w:tcPr>
          <w:p>
            <w:pPr>
              <w:spacing w:after="0"/>
            </w:pPr>
            <w:r>
              <w:rPr>
                <w:rFonts w:ascii="Aptos" w:hAnsi="Aptos"/>
                <w:b w:val="0"/>
                <w:color w:val="1D242B"/>
                <w:sz w:val="16"/>
              </w:rPr>
              <w:t>Correct or replace claim according to payer instructions; do not appeal a valid edit.</w:t>
            </w:r>
          </w:p>
        </w:tc>
        <w:tc>
          <w:tcPr>
            <w:tcW w:type="dxa" w:w="2102"/>
            <w:tcMar>
              <w:top w:w="70" w:type="dxa"/>
              <w:start w:w="75" w:type="dxa"/>
              <w:bottom w:w="70" w:type="dxa"/>
              <w:end w:w="75" w:type="dxa"/>
            </w:tcMar>
            <w:vAlign w:val="top"/>
          </w:tcPr>
          <w:p>
            <w:pPr>
              <w:spacing w:after="0"/>
            </w:pPr>
            <w:r>
              <w:rPr>
                <w:rFonts w:ascii="Aptos" w:hAnsi="Aptos"/>
                <w:b w:val="0"/>
                <w:color w:val="1D242B"/>
                <w:sz w:val="16"/>
              </w:rPr>
              <w:t>Original claim, edit/error response, corrected submission acknowledgment.</w:t>
            </w:r>
          </w:p>
        </w:tc>
        <w:tc>
          <w:tcPr>
            <w:tcW w:type="dxa" w:w="2045"/>
            <w:tcMar>
              <w:top w:w="70" w:type="dxa"/>
              <w:start w:w="75" w:type="dxa"/>
              <w:bottom w:w="70" w:type="dxa"/>
              <w:end w:w="75" w:type="dxa"/>
            </w:tcMar>
            <w:vAlign w:val="top"/>
          </w:tcPr>
          <w:p>
            <w:pPr>
              <w:spacing w:after="0"/>
            </w:pPr>
            <w:r>
              <w:rPr>
                <w:rFonts w:ascii="Aptos" w:hAnsi="Aptos"/>
                <w:b w:val="0"/>
                <w:color w:val="1D242B"/>
                <w:sz w:val="16"/>
              </w:rPr>
              <w:t>Claim scrub rules tied to payer/state requirements.</w:t>
            </w:r>
          </w:p>
        </w:tc>
      </w:tr>
      <w:tr>
        <w:trPr>
          <w:cantSplit/>
        </w:trPr>
        <w:tc>
          <w:tcPr>
            <w:tcW w:type="dxa" w:w="1512"/>
            <w:tcMar>
              <w:top w:w="70" w:type="dxa"/>
              <w:start w:w="75" w:type="dxa"/>
              <w:bottom w:w="70" w:type="dxa"/>
              <w:end w:w="75" w:type="dxa"/>
            </w:tcMar>
            <w:shd w:fill="F3F5F7"/>
            <w:vAlign w:val="top"/>
          </w:tcPr>
          <w:p>
            <w:pPr>
              <w:spacing w:after="0"/>
            </w:pPr>
            <w:r>
              <w:rPr>
                <w:rFonts w:ascii="Aptos" w:hAnsi="Aptos"/>
                <w:b/>
                <w:color w:val="1D242B"/>
                <w:sz w:val="16"/>
              </w:rPr>
              <w:t>Duplicate</w:t>
            </w:r>
          </w:p>
        </w:tc>
        <w:tc>
          <w:tcPr>
            <w:tcW w:type="dxa" w:w="2333"/>
            <w:tcMar>
              <w:top w:w="70" w:type="dxa"/>
              <w:start w:w="75" w:type="dxa"/>
              <w:bottom w:w="70" w:type="dxa"/>
              <w:end w:w="75" w:type="dxa"/>
            </w:tcMar>
            <w:shd w:fill="F3F5F7"/>
            <w:vAlign w:val="top"/>
          </w:tcPr>
          <w:p>
            <w:pPr>
              <w:spacing w:after="0"/>
            </w:pPr>
            <w:r>
              <w:rPr>
                <w:rFonts w:ascii="Aptos" w:hAnsi="Aptos"/>
                <w:b w:val="0"/>
                <w:color w:val="1D242B"/>
                <w:sz w:val="16"/>
              </w:rPr>
              <w:t>Claim history, replacement/void indicators, prior acceptance/adjudication, whether services are truly duplicate.</w:t>
            </w:r>
          </w:p>
        </w:tc>
        <w:tc>
          <w:tcPr>
            <w:tcW w:type="dxa" w:w="2232"/>
            <w:tcMar>
              <w:top w:w="70" w:type="dxa"/>
              <w:start w:w="75" w:type="dxa"/>
              <w:bottom w:w="70" w:type="dxa"/>
              <w:end w:w="75" w:type="dxa"/>
            </w:tcMar>
            <w:shd w:fill="F3F5F7"/>
            <w:vAlign w:val="top"/>
          </w:tcPr>
          <w:p>
            <w:pPr>
              <w:spacing w:after="0"/>
            </w:pPr>
            <w:r>
              <w:rPr>
                <w:rFonts w:ascii="Aptos" w:hAnsi="Aptos"/>
                <w:b w:val="0"/>
                <w:color w:val="1D242B"/>
                <w:sz w:val="16"/>
              </w:rPr>
              <w:t>Do not resubmit blindly. Correct duplicate workflow or use replacement/void process if appropriate.</w:t>
            </w:r>
          </w:p>
        </w:tc>
        <w:tc>
          <w:tcPr>
            <w:tcW w:type="dxa" w:w="2102"/>
            <w:tcMar>
              <w:top w:w="70" w:type="dxa"/>
              <w:start w:w="75" w:type="dxa"/>
              <w:bottom w:w="70" w:type="dxa"/>
              <w:end w:w="75" w:type="dxa"/>
            </w:tcMar>
            <w:shd w:fill="F3F5F7"/>
            <w:vAlign w:val="top"/>
          </w:tcPr>
          <w:p>
            <w:pPr>
              <w:spacing w:after="0"/>
            </w:pPr>
            <w:r>
              <w:rPr>
                <w:rFonts w:ascii="Aptos" w:hAnsi="Aptos"/>
                <w:b w:val="0"/>
                <w:color w:val="1D242B"/>
                <w:sz w:val="16"/>
              </w:rPr>
              <w:t>Claim history, original ICN/DCN/TCN where available, replacement submission.</w:t>
            </w:r>
          </w:p>
        </w:tc>
        <w:tc>
          <w:tcPr>
            <w:tcW w:type="dxa" w:w="2045"/>
            <w:tcMar>
              <w:top w:w="70" w:type="dxa"/>
              <w:start w:w="75" w:type="dxa"/>
              <w:bottom w:w="70" w:type="dxa"/>
              <w:end w:w="75" w:type="dxa"/>
            </w:tcMar>
            <w:shd w:fill="F3F5F7"/>
            <w:vAlign w:val="top"/>
          </w:tcPr>
          <w:p>
            <w:pPr>
              <w:spacing w:after="0"/>
            </w:pPr>
            <w:r>
              <w:rPr>
                <w:rFonts w:ascii="Aptos" w:hAnsi="Aptos"/>
                <w:b w:val="0"/>
                <w:color w:val="1D242B"/>
                <w:sz w:val="16"/>
              </w:rPr>
              <w:t>Prevent repeated manual rebilling; use claim-status verification.</w:t>
            </w:r>
          </w:p>
        </w:tc>
      </w:tr>
      <w:tr>
        <w:trPr>
          <w:cantSplit/>
        </w:trPr>
        <w:tc>
          <w:tcPr>
            <w:tcW w:type="dxa" w:w="1512"/>
            <w:tcMar>
              <w:top w:w="70" w:type="dxa"/>
              <w:start w:w="75" w:type="dxa"/>
              <w:bottom w:w="70" w:type="dxa"/>
              <w:end w:w="75" w:type="dxa"/>
            </w:tcMar>
            <w:vAlign w:val="top"/>
          </w:tcPr>
          <w:p>
            <w:pPr>
              <w:spacing w:after="0"/>
            </w:pPr>
            <w:r>
              <w:rPr>
                <w:rFonts w:ascii="Aptos" w:hAnsi="Aptos"/>
                <w:b/>
                <w:color w:val="1D242B"/>
                <w:sz w:val="16"/>
              </w:rPr>
              <w:t>Timely filing</w:t>
            </w:r>
          </w:p>
        </w:tc>
        <w:tc>
          <w:tcPr>
            <w:tcW w:type="dxa" w:w="2333"/>
            <w:tcMar>
              <w:top w:w="70" w:type="dxa"/>
              <w:start w:w="75" w:type="dxa"/>
              <w:bottom w:w="70" w:type="dxa"/>
              <w:end w:w="75" w:type="dxa"/>
            </w:tcMar>
            <w:vAlign w:val="top"/>
          </w:tcPr>
          <w:p>
            <w:pPr>
              <w:spacing w:after="0"/>
            </w:pPr>
            <w:r>
              <w:rPr>
                <w:rFonts w:ascii="Aptos" w:hAnsi="Aptos"/>
                <w:b w:val="0"/>
                <w:color w:val="1D242B"/>
                <w:sz w:val="16"/>
              </w:rPr>
              <w:t>Original submission date, acceptance evidence, payer receipt, resubmission history, contract/state deadline, exceptions.</w:t>
            </w:r>
          </w:p>
        </w:tc>
        <w:tc>
          <w:tcPr>
            <w:tcW w:type="dxa" w:w="2232"/>
            <w:tcMar>
              <w:top w:w="70" w:type="dxa"/>
              <w:start w:w="75" w:type="dxa"/>
              <w:bottom w:w="70" w:type="dxa"/>
              <w:end w:w="75" w:type="dxa"/>
            </w:tcMar>
            <w:vAlign w:val="top"/>
          </w:tcPr>
          <w:p>
            <w:pPr>
              <w:spacing w:after="0"/>
            </w:pPr>
            <w:r>
              <w:rPr>
                <w:rFonts w:ascii="Aptos" w:hAnsi="Aptos"/>
                <w:b w:val="0"/>
                <w:color w:val="1D242B"/>
                <w:sz w:val="16"/>
              </w:rPr>
              <w:t>Appeal only when filing evidence or an allowed exception supports it; otherwise classify loss/root cause.</w:t>
            </w:r>
          </w:p>
        </w:tc>
        <w:tc>
          <w:tcPr>
            <w:tcW w:type="dxa" w:w="2102"/>
            <w:tcMar>
              <w:top w:w="70" w:type="dxa"/>
              <w:start w:w="75" w:type="dxa"/>
              <w:bottom w:w="70" w:type="dxa"/>
              <w:end w:w="75" w:type="dxa"/>
            </w:tcMar>
            <w:vAlign w:val="top"/>
          </w:tcPr>
          <w:p>
            <w:pPr>
              <w:spacing w:after="0"/>
            </w:pPr>
            <w:r>
              <w:rPr>
                <w:rFonts w:ascii="Aptos" w:hAnsi="Aptos"/>
                <w:b w:val="0"/>
                <w:color w:val="1D242B"/>
                <w:sz w:val="16"/>
              </w:rPr>
              <w:t>Clearinghouse acceptance, payer acknowledgment, claim history, exception evidence.</w:t>
            </w:r>
          </w:p>
        </w:tc>
        <w:tc>
          <w:tcPr>
            <w:tcW w:type="dxa" w:w="2045"/>
            <w:tcMar>
              <w:top w:w="70" w:type="dxa"/>
              <w:start w:w="75" w:type="dxa"/>
              <w:bottom w:w="70" w:type="dxa"/>
              <w:end w:w="75" w:type="dxa"/>
            </w:tcMar>
            <w:vAlign w:val="top"/>
          </w:tcPr>
          <w:p>
            <w:pPr>
              <w:spacing w:after="0"/>
            </w:pPr>
            <w:r>
              <w:rPr>
                <w:rFonts w:ascii="Aptos" w:hAnsi="Aptos"/>
                <w:b w:val="0"/>
                <w:color w:val="1D242B"/>
                <w:sz w:val="16"/>
              </w:rPr>
              <w:t>Aging controls and timely-filing escalation well before deadline.</w:t>
            </w:r>
          </w:p>
        </w:tc>
      </w:tr>
      <w:tr>
        <w:trPr>
          <w:cantSplit/>
        </w:trPr>
        <w:tc>
          <w:tcPr>
            <w:tcW w:type="dxa" w:w="1512"/>
            <w:tcMar>
              <w:top w:w="70" w:type="dxa"/>
              <w:start w:w="75" w:type="dxa"/>
              <w:bottom w:w="70" w:type="dxa"/>
              <w:end w:w="75" w:type="dxa"/>
            </w:tcMar>
            <w:shd w:fill="F3F5F7"/>
            <w:vAlign w:val="top"/>
          </w:tcPr>
          <w:p>
            <w:pPr>
              <w:spacing w:after="0"/>
            </w:pPr>
            <w:r>
              <w:rPr>
                <w:rFonts w:ascii="Aptos" w:hAnsi="Aptos"/>
                <w:b/>
                <w:color w:val="1D242B"/>
                <w:sz w:val="16"/>
              </w:rPr>
              <w:t>Documentation / medical necessity / service support</w:t>
            </w:r>
          </w:p>
        </w:tc>
        <w:tc>
          <w:tcPr>
            <w:tcW w:type="dxa" w:w="2333"/>
            <w:tcMar>
              <w:top w:w="70" w:type="dxa"/>
              <w:start w:w="75" w:type="dxa"/>
              <w:bottom w:w="70" w:type="dxa"/>
              <w:end w:w="75" w:type="dxa"/>
            </w:tcMar>
            <w:shd w:fill="F3F5F7"/>
            <w:vAlign w:val="top"/>
          </w:tcPr>
          <w:p>
            <w:pPr>
              <w:spacing w:after="0"/>
            </w:pPr>
            <w:r>
              <w:rPr>
                <w:rFonts w:ascii="Aptos" w:hAnsi="Aptos"/>
                <w:b w:val="0"/>
                <w:color w:val="1D242B"/>
                <w:sz w:val="16"/>
              </w:rPr>
              <w:t>Required service documentation, plan/service authorization, signatures/attestations, payer request, date-specific records.</w:t>
            </w:r>
          </w:p>
        </w:tc>
        <w:tc>
          <w:tcPr>
            <w:tcW w:type="dxa" w:w="2232"/>
            <w:tcMar>
              <w:top w:w="70" w:type="dxa"/>
              <w:start w:w="75" w:type="dxa"/>
              <w:bottom w:w="70" w:type="dxa"/>
              <w:end w:w="75" w:type="dxa"/>
            </w:tcMar>
            <w:shd w:fill="F3F5F7"/>
            <w:vAlign w:val="top"/>
          </w:tcPr>
          <w:p>
            <w:pPr>
              <w:spacing w:after="0"/>
            </w:pPr>
            <w:r>
              <w:rPr>
                <w:rFonts w:ascii="Aptos" w:hAnsi="Aptos"/>
                <w:b w:val="0"/>
                <w:color w:val="1D242B"/>
                <w:sz w:val="16"/>
              </w:rPr>
              <w:t>Submit requested records or appeal when documentation supports payment; correct workflow if records were incomplete.</w:t>
            </w:r>
          </w:p>
        </w:tc>
        <w:tc>
          <w:tcPr>
            <w:tcW w:type="dxa" w:w="2102"/>
            <w:tcMar>
              <w:top w:w="70" w:type="dxa"/>
              <w:start w:w="75" w:type="dxa"/>
              <w:bottom w:w="70" w:type="dxa"/>
              <w:end w:w="75" w:type="dxa"/>
            </w:tcMar>
            <w:shd w:fill="F3F5F7"/>
            <w:vAlign w:val="top"/>
          </w:tcPr>
          <w:p>
            <w:pPr>
              <w:spacing w:after="0"/>
            </w:pPr>
            <w:r>
              <w:rPr>
                <w:rFonts w:ascii="Aptos" w:hAnsi="Aptos"/>
                <w:b w:val="0"/>
                <w:color w:val="1D242B"/>
                <w:sz w:val="16"/>
              </w:rPr>
              <w:t>Requested records, submission proof, payer correspondence, appeal packet.</w:t>
            </w:r>
          </w:p>
        </w:tc>
        <w:tc>
          <w:tcPr>
            <w:tcW w:type="dxa" w:w="2045"/>
            <w:tcMar>
              <w:top w:w="70" w:type="dxa"/>
              <w:start w:w="75" w:type="dxa"/>
              <w:bottom w:w="70" w:type="dxa"/>
              <w:end w:w="75" w:type="dxa"/>
            </w:tcMar>
            <w:shd w:fill="F3F5F7"/>
            <w:vAlign w:val="top"/>
          </w:tcPr>
          <w:p>
            <w:pPr>
              <w:spacing w:after="0"/>
            </w:pPr>
            <w:r>
              <w:rPr>
                <w:rFonts w:ascii="Aptos" w:hAnsi="Aptos"/>
                <w:b w:val="0"/>
                <w:color w:val="1D242B"/>
                <w:sz w:val="16"/>
              </w:rPr>
              <w:t>Documentation readiness control before billing where required.</w:t>
            </w:r>
          </w:p>
        </w:tc>
      </w:tr>
      <w:tr>
        <w:trPr>
          <w:cantSplit/>
        </w:trPr>
        <w:tc>
          <w:tcPr>
            <w:tcW w:type="dxa" w:w="1512"/>
            <w:tcMar>
              <w:top w:w="70" w:type="dxa"/>
              <w:start w:w="75" w:type="dxa"/>
              <w:bottom w:w="70" w:type="dxa"/>
              <w:end w:w="75" w:type="dxa"/>
            </w:tcMar>
            <w:vAlign w:val="top"/>
          </w:tcPr>
          <w:p>
            <w:pPr>
              <w:spacing w:after="0"/>
            </w:pPr>
            <w:r>
              <w:rPr>
                <w:rFonts w:ascii="Aptos" w:hAnsi="Aptos"/>
                <w:b/>
                <w:color w:val="1D242B"/>
                <w:sz w:val="16"/>
              </w:rPr>
              <w:t>COB / other insurance</w:t>
            </w:r>
          </w:p>
        </w:tc>
        <w:tc>
          <w:tcPr>
            <w:tcW w:type="dxa" w:w="2333"/>
            <w:tcMar>
              <w:top w:w="70" w:type="dxa"/>
              <w:start w:w="75" w:type="dxa"/>
              <w:bottom w:w="70" w:type="dxa"/>
              <w:end w:w="75" w:type="dxa"/>
            </w:tcMar>
            <w:vAlign w:val="top"/>
          </w:tcPr>
          <w:p>
            <w:pPr>
              <w:spacing w:after="0"/>
            </w:pPr>
            <w:r>
              <w:rPr>
                <w:rFonts w:ascii="Aptos" w:hAnsi="Aptos"/>
                <w:b w:val="0"/>
                <w:color w:val="1D242B"/>
                <w:sz w:val="16"/>
              </w:rPr>
              <w:t>Other coverage, payer sequence, prior payer adjudication, TPL/COB record, member data.</w:t>
            </w:r>
          </w:p>
        </w:tc>
        <w:tc>
          <w:tcPr>
            <w:tcW w:type="dxa" w:w="2232"/>
            <w:tcMar>
              <w:top w:w="70" w:type="dxa"/>
              <w:start w:w="75" w:type="dxa"/>
              <w:bottom w:w="70" w:type="dxa"/>
              <w:end w:w="75" w:type="dxa"/>
            </w:tcMar>
            <w:vAlign w:val="top"/>
          </w:tcPr>
          <w:p>
            <w:pPr>
              <w:spacing w:after="0"/>
            </w:pPr>
            <w:r>
              <w:rPr>
                <w:rFonts w:ascii="Aptos" w:hAnsi="Aptos"/>
                <w:b w:val="0"/>
                <w:color w:val="1D242B"/>
                <w:sz w:val="16"/>
              </w:rPr>
              <w:t>Correct COB/TPL data and follow payer sequence; submit prior payer information as required.</w:t>
            </w:r>
          </w:p>
        </w:tc>
        <w:tc>
          <w:tcPr>
            <w:tcW w:type="dxa" w:w="2102"/>
            <w:tcMar>
              <w:top w:w="70" w:type="dxa"/>
              <w:start w:w="75" w:type="dxa"/>
              <w:bottom w:w="70" w:type="dxa"/>
              <w:end w:w="75" w:type="dxa"/>
            </w:tcMar>
            <w:vAlign w:val="top"/>
          </w:tcPr>
          <w:p>
            <w:pPr>
              <w:spacing w:after="0"/>
            </w:pPr>
            <w:r>
              <w:rPr>
                <w:rFonts w:ascii="Aptos" w:hAnsi="Aptos"/>
                <w:b w:val="0"/>
                <w:color w:val="1D242B"/>
                <w:sz w:val="16"/>
              </w:rPr>
              <w:t>Eligibility/COB evidence, prior payer EOB/ERA, payer confirmation.</w:t>
            </w:r>
          </w:p>
        </w:tc>
        <w:tc>
          <w:tcPr>
            <w:tcW w:type="dxa" w:w="2045"/>
            <w:tcMar>
              <w:top w:w="70" w:type="dxa"/>
              <w:start w:w="75" w:type="dxa"/>
              <w:bottom w:w="70" w:type="dxa"/>
              <w:end w:w="75" w:type="dxa"/>
            </w:tcMar>
            <w:vAlign w:val="top"/>
          </w:tcPr>
          <w:p>
            <w:pPr>
              <w:spacing w:after="0"/>
            </w:pPr>
            <w:r>
              <w:rPr>
                <w:rFonts w:ascii="Aptos" w:hAnsi="Aptos"/>
                <w:b w:val="0"/>
                <w:color w:val="1D242B"/>
                <w:sz w:val="16"/>
              </w:rPr>
              <w:t>COB verification and exception handling before claim release.</w:t>
            </w:r>
          </w:p>
        </w:tc>
      </w:tr>
      <w:tr>
        <w:trPr>
          <w:cantSplit/>
        </w:trPr>
        <w:tc>
          <w:tcPr>
            <w:tcW w:type="dxa" w:w="1512"/>
            <w:tcMar>
              <w:top w:w="70" w:type="dxa"/>
              <w:start w:w="75" w:type="dxa"/>
              <w:bottom w:w="70" w:type="dxa"/>
              <w:end w:w="75" w:type="dxa"/>
            </w:tcMar>
            <w:shd w:fill="F3F5F7"/>
            <w:vAlign w:val="top"/>
          </w:tcPr>
          <w:p>
            <w:pPr>
              <w:spacing w:after="0"/>
            </w:pPr>
            <w:r>
              <w:rPr>
                <w:rFonts w:ascii="Aptos" w:hAnsi="Aptos"/>
                <w:b/>
                <w:color w:val="1D242B"/>
                <w:sz w:val="16"/>
              </w:rPr>
              <w:t>Rate / payment amount</w:t>
            </w:r>
          </w:p>
        </w:tc>
        <w:tc>
          <w:tcPr>
            <w:tcW w:type="dxa" w:w="2333"/>
            <w:tcMar>
              <w:top w:w="70" w:type="dxa"/>
              <w:start w:w="75" w:type="dxa"/>
              <w:bottom w:w="70" w:type="dxa"/>
              <w:end w:w="75" w:type="dxa"/>
            </w:tcMar>
            <w:shd w:fill="F3F5F7"/>
            <w:vAlign w:val="top"/>
          </w:tcPr>
          <w:p>
            <w:pPr>
              <w:spacing w:after="0"/>
            </w:pPr>
            <w:r>
              <w:rPr>
                <w:rFonts w:ascii="Aptos" w:hAnsi="Aptos"/>
                <w:b w:val="0"/>
                <w:color w:val="1D242B"/>
                <w:sz w:val="16"/>
              </w:rPr>
              <w:t>Contract/state rate, effective date, units, modifiers, fee schedule, prior payer impacts, recoupment context.</w:t>
            </w:r>
          </w:p>
        </w:tc>
        <w:tc>
          <w:tcPr>
            <w:tcW w:type="dxa" w:w="2232"/>
            <w:tcMar>
              <w:top w:w="70" w:type="dxa"/>
              <w:start w:w="75" w:type="dxa"/>
              <w:bottom w:w="70" w:type="dxa"/>
              <w:end w:w="75" w:type="dxa"/>
            </w:tcMar>
            <w:shd w:fill="F3F5F7"/>
            <w:vAlign w:val="top"/>
          </w:tcPr>
          <w:p>
            <w:pPr>
              <w:spacing w:after="0"/>
            </w:pPr>
            <w:r>
              <w:rPr>
                <w:rFonts w:ascii="Aptos" w:hAnsi="Aptos"/>
                <w:b w:val="0"/>
                <w:color w:val="1D242B"/>
                <w:sz w:val="16"/>
              </w:rPr>
              <w:t>Reconcile calculation; dispute underpayment when payer did not apply controlling rate/contract correctly.</w:t>
            </w:r>
          </w:p>
        </w:tc>
        <w:tc>
          <w:tcPr>
            <w:tcW w:type="dxa" w:w="2102"/>
            <w:tcMar>
              <w:top w:w="70" w:type="dxa"/>
              <w:start w:w="75" w:type="dxa"/>
              <w:bottom w:w="70" w:type="dxa"/>
              <w:end w:w="75" w:type="dxa"/>
            </w:tcMar>
            <w:shd w:fill="F3F5F7"/>
            <w:vAlign w:val="top"/>
          </w:tcPr>
          <w:p>
            <w:pPr>
              <w:spacing w:after="0"/>
            </w:pPr>
            <w:r>
              <w:rPr>
                <w:rFonts w:ascii="Aptos" w:hAnsi="Aptos"/>
                <w:b w:val="0"/>
                <w:color w:val="1D242B"/>
                <w:sz w:val="16"/>
              </w:rPr>
              <w:t>Rate source/contract, claim, ERA, payment calculation, correspondence.</w:t>
            </w:r>
          </w:p>
        </w:tc>
        <w:tc>
          <w:tcPr>
            <w:tcW w:type="dxa" w:w="2045"/>
            <w:tcMar>
              <w:top w:w="70" w:type="dxa"/>
              <w:start w:w="75" w:type="dxa"/>
              <w:bottom w:w="70" w:type="dxa"/>
              <w:end w:w="75" w:type="dxa"/>
            </w:tcMar>
            <w:shd w:fill="F3F5F7"/>
            <w:vAlign w:val="top"/>
          </w:tcPr>
          <w:p>
            <w:pPr>
              <w:spacing w:after="0"/>
            </w:pPr>
            <w:r>
              <w:rPr>
                <w:rFonts w:ascii="Aptos" w:hAnsi="Aptos"/>
                <w:b w:val="0"/>
                <w:color w:val="1D242B"/>
                <w:sz w:val="16"/>
              </w:rPr>
              <w:t>Rate table/configuration validation and payment variance review.</w:t>
            </w:r>
          </w:p>
        </w:tc>
      </w:tr>
    </w:tbl>
    <w:p>
      <w:pPr>
        <w:widowControl/>
        <w:spacing w:after="40"/>
      </w:pPr>
    </w:p>
    <w:p>
      <w:pPr>
        <w:widowControl/>
      </w:pPr>
      <w:r>
        <w:br w:type="page"/>
      </w:r>
    </w:p>
    <w:p>
      <w:pPr>
        <w:pStyle w:val="Heading1"/>
        <w:keepNext/>
        <w:widowControl/>
        <w:spacing w:before="140" w:after="100"/>
      </w:pPr>
      <w:r>
        <w:rPr>
          <w:rFonts w:ascii="Aptos" w:hAnsi="Aptos"/>
          <w:b/>
          <w:color w:val="0B213B"/>
          <w:sz w:val="32"/>
        </w:rPr>
        <w:t>3. Read the Remittance Correctly</w:t>
      </w:r>
    </w:p>
    <w:p>
      <w:pPr>
        <w:keepNext w:val="0"/>
        <w:widowControl/>
        <w:spacing w:after="140"/>
      </w:pPr>
      <w:r>
        <w:rPr>
          <w:rFonts w:ascii="Aptos" w:hAnsi="Aptos"/>
          <w:color w:val="1D242B"/>
          <w:sz w:val="20"/>
        </w:rPr>
        <w:t>Under HIPAA administrative simplification, health plans use standardized Claim Adjustment Reason Codes (CARCs) and Remittance Advice Remark Codes (RARCs) to explain payment adjustments. The CARC gives the broad adjustment reason; a RARC may provide more specific context. Treat the code combination as a diagnostic clue, then verify the underlying facts.</w:t>
      </w:r>
    </w:p>
    <w:tbl>
      <w:tblPr>
        <w:tblW w:type="auto" w:w="0"/>
        <w:jc w:val="center"/>
        <w:tblLayout w:type="fixed"/>
        <w:tblLook w:firstColumn="1" w:firstRow="1" w:lastColumn="0" w:lastRow="0" w:noHBand="0" w:noVBand="1" w:val="04A0"/>
      </w:tblPr>
      <w:tblGrid>
        <w:gridCol w:w="3485"/>
        <w:gridCol w:w="3485"/>
        <w:gridCol w:w="3485"/>
      </w:tblGrid>
      <w:tr>
        <w:trPr>
          <w:cantSplit/>
        </w:trPr>
        <w:tc>
          <w:tcPr>
            <w:tcW w:type="dxa" w:w="3485"/>
            <w:shd w:fill="0B213B"/>
            <w:tcMar>
              <w:top w:w="75" w:type="dxa"/>
              <w:start w:w="75" w:type="dxa"/>
              <w:bottom w:w="75" w:type="dxa"/>
              <w:end w:w="75" w:type="dxa"/>
            </w:tcMar>
          </w:tcPr>
          <w:p>
            <w:r>
              <w:rPr>
                <w:rFonts w:ascii="Aptos" w:hAnsi="Aptos"/>
                <w:b/>
                <w:color w:val="FFFFFF"/>
                <w:sz w:val="17"/>
              </w:rPr>
              <w:t>Example signal</w:t>
            </w:r>
          </w:p>
        </w:tc>
        <w:tc>
          <w:tcPr>
            <w:tcW w:type="dxa" w:w="3485"/>
            <w:shd w:fill="0B213B"/>
            <w:tcMar>
              <w:top w:w="75" w:type="dxa"/>
              <w:start w:w="75" w:type="dxa"/>
              <w:bottom w:w="75" w:type="dxa"/>
              <w:end w:w="75" w:type="dxa"/>
            </w:tcMar>
          </w:tcPr>
          <w:p>
            <w:r>
              <w:rPr>
                <w:rFonts w:ascii="Aptos" w:hAnsi="Aptos"/>
                <w:b/>
                <w:color w:val="FFFFFF"/>
                <w:sz w:val="17"/>
              </w:rPr>
              <w:t>What it generally says</w:t>
            </w:r>
          </w:p>
        </w:tc>
        <w:tc>
          <w:tcPr>
            <w:tcW w:type="dxa" w:w="3485"/>
            <w:shd w:fill="0B213B"/>
            <w:tcMar>
              <w:top w:w="75" w:type="dxa"/>
              <w:start w:w="75" w:type="dxa"/>
              <w:bottom w:w="75" w:type="dxa"/>
              <w:end w:w="75" w:type="dxa"/>
            </w:tcMar>
          </w:tcPr>
          <w:p>
            <w:r>
              <w:rPr>
                <w:rFonts w:ascii="Aptos" w:hAnsi="Aptos"/>
                <w:b/>
                <w:color w:val="FFFFFF"/>
                <w:sz w:val="17"/>
              </w:rPr>
              <w:t>Revenue-cycle response</w:t>
            </w:r>
          </w:p>
        </w:tc>
      </w:tr>
      <w:tr>
        <w:trPr>
          <w:cantSplit/>
        </w:trPr>
        <w:tc>
          <w:tcPr>
            <w:tcW w:type="dxa" w:w="3485"/>
            <w:tcMar>
              <w:top w:w="70" w:type="dxa"/>
              <w:start w:w="75" w:type="dxa"/>
              <w:bottom w:w="70" w:type="dxa"/>
              <w:end w:w="75" w:type="dxa"/>
            </w:tcMar>
          </w:tcPr>
          <w:p>
            <w:r>
              <w:rPr>
                <w:rFonts w:ascii="Aptos" w:hAnsi="Aptos"/>
                <w:b/>
                <w:color w:val="1D242B"/>
                <w:sz w:val="16"/>
              </w:rPr>
              <w:t>CARC 16</w:t>
            </w:r>
          </w:p>
        </w:tc>
        <w:tc>
          <w:tcPr>
            <w:tcW w:type="dxa" w:w="3485"/>
            <w:tcMar>
              <w:top w:w="70" w:type="dxa"/>
              <w:start w:w="75" w:type="dxa"/>
              <w:bottom w:w="70" w:type="dxa"/>
              <w:end w:w="75" w:type="dxa"/>
            </w:tcMar>
          </w:tcPr>
          <w:p>
            <w:r>
              <w:rPr>
                <w:rFonts w:ascii="Aptos" w:hAnsi="Aptos"/>
                <w:b w:val="0"/>
                <w:color w:val="1D242B"/>
                <w:sz w:val="16"/>
              </w:rPr>
              <w:t>Claim/service lacks information or contains a submission/billing error.</w:t>
            </w:r>
          </w:p>
        </w:tc>
        <w:tc>
          <w:tcPr>
            <w:tcW w:type="dxa" w:w="3485"/>
            <w:tcMar>
              <w:top w:w="70" w:type="dxa"/>
              <w:start w:w="75" w:type="dxa"/>
              <w:bottom w:w="70" w:type="dxa"/>
              <w:end w:w="75" w:type="dxa"/>
            </w:tcMar>
          </w:tcPr>
          <w:p>
            <w:r>
              <w:rPr>
                <w:rFonts w:ascii="Aptos" w:hAnsi="Aptos"/>
                <w:b w:val="0"/>
                <w:color w:val="1D242B"/>
                <w:sz w:val="16"/>
              </w:rPr>
              <w:t>Read the accompanying RARC or other detail. Identify the specific missing/invalid element before correcting.</w:t>
            </w:r>
          </w:p>
        </w:tc>
      </w:tr>
      <w:tr>
        <w:trPr>
          <w:cantSplit/>
        </w:trPr>
        <w:tc>
          <w:tcPr>
            <w:tcW w:type="dxa" w:w="3485"/>
            <w:tcMar>
              <w:top w:w="70" w:type="dxa"/>
              <w:start w:w="75" w:type="dxa"/>
              <w:bottom w:w="70" w:type="dxa"/>
              <w:end w:w="75" w:type="dxa"/>
            </w:tcMar>
            <w:shd w:fill="F3F5F7"/>
          </w:tcPr>
          <w:p>
            <w:r>
              <w:rPr>
                <w:rFonts w:ascii="Aptos" w:hAnsi="Aptos"/>
                <w:b/>
                <w:color w:val="1D242B"/>
                <w:sz w:val="16"/>
              </w:rPr>
              <w:t>CARC 18</w:t>
            </w:r>
          </w:p>
        </w:tc>
        <w:tc>
          <w:tcPr>
            <w:tcW w:type="dxa" w:w="3485"/>
            <w:tcMar>
              <w:top w:w="70" w:type="dxa"/>
              <w:start w:w="75" w:type="dxa"/>
              <w:bottom w:w="70" w:type="dxa"/>
              <w:end w:w="75" w:type="dxa"/>
            </w:tcMar>
            <w:shd w:fill="F3F5F7"/>
          </w:tcPr>
          <w:p>
            <w:r>
              <w:rPr>
                <w:rFonts w:ascii="Aptos" w:hAnsi="Aptos"/>
                <w:b w:val="0"/>
                <w:color w:val="1D242B"/>
                <w:sz w:val="16"/>
              </w:rPr>
              <w:t>Exact duplicate claim/service.</w:t>
            </w:r>
          </w:p>
        </w:tc>
        <w:tc>
          <w:tcPr>
            <w:tcW w:type="dxa" w:w="3485"/>
            <w:tcMar>
              <w:top w:w="70" w:type="dxa"/>
              <w:start w:w="75" w:type="dxa"/>
              <w:bottom w:w="70" w:type="dxa"/>
              <w:end w:w="75" w:type="dxa"/>
            </w:tcMar>
            <w:shd w:fill="F3F5F7"/>
          </w:tcPr>
          <w:p>
            <w:r>
              <w:rPr>
                <w:rFonts w:ascii="Aptos" w:hAnsi="Aptos"/>
                <w:b w:val="0"/>
                <w:color w:val="1D242B"/>
                <w:sz w:val="16"/>
              </w:rPr>
              <w:t>Verify claim history before any resubmission. Determine whether a replacement/void workflow was required.</w:t>
            </w:r>
          </w:p>
        </w:tc>
      </w:tr>
      <w:tr>
        <w:trPr>
          <w:cantSplit/>
        </w:trPr>
        <w:tc>
          <w:tcPr>
            <w:tcW w:type="dxa" w:w="3485"/>
            <w:tcMar>
              <w:top w:w="70" w:type="dxa"/>
              <w:start w:w="75" w:type="dxa"/>
              <w:bottom w:w="70" w:type="dxa"/>
              <w:end w:w="75" w:type="dxa"/>
            </w:tcMar>
          </w:tcPr>
          <w:p>
            <w:r>
              <w:rPr>
                <w:rFonts w:ascii="Aptos" w:hAnsi="Aptos"/>
                <w:b/>
                <w:color w:val="1D242B"/>
                <w:sz w:val="16"/>
              </w:rPr>
              <w:t>CARC 22</w:t>
            </w:r>
          </w:p>
        </w:tc>
        <w:tc>
          <w:tcPr>
            <w:tcW w:type="dxa" w:w="3485"/>
            <w:tcMar>
              <w:top w:w="70" w:type="dxa"/>
              <w:start w:w="75" w:type="dxa"/>
              <w:bottom w:w="70" w:type="dxa"/>
              <w:end w:w="75" w:type="dxa"/>
            </w:tcMar>
          </w:tcPr>
          <w:p>
            <w:r>
              <w:rPr>
                <w:rFonts w:ascii="Aptos" w:hAnsi="Aptos"/>
                <w:b w:val="0"/>
                <w:color w:val="1D242B"/>
                <w:sz w:val="16"/>
              </w:rPr>
              <w:t>Care may be covered by another payer under coordination of benefits.</w:t>
            </w:r>
          </w:p>
        </w:tc>
        <w:tc>
          <w:tcPr>
            <w:tcW w:type="dxa" w:w="3485"/>
            <w:tcMar>
              <w:top w:w="70" w:type="dxa"/>
              <w:start w:w="75" w:type="dxa"/>
              <w:bottom w:w="70" w:type="dxa"/>
              <w:end w:w="75" w:type="dxa"/>
            </w:tcMar>
          </w:tcPr>
          <w:p>
            <w:r>
              <w:rPr>
                <w:rFonts w:ascii="Aptos" w:hAnsi="Aptos"/>
                <w:b w:val="0"/>
                <w:color w:val="1D242B"/>
                <w:sz w:val="16"/>
              </w:rPr>
              <w:t>Verify payer sequence and other coverage rather than repeatedly billing the same payer.</w:t>
            </w:r>
          </w:p>
        </w:tc>
      </w:tr>
      <w:tr>
        <w:trPr>
          <w:cantSplit/>
        </w:trPr>
        <w:tc>
          <w:tcPr>
            <w:tcW w:type="dxa" w:w="3485"/>
            <w:tcMar>
              <w:top w:w="70" w:type="dxa"/>
              <w:start w:w="75" w:type="dxa"/>
              <w:bottom w:w="70" w:type="dxa"/>
              <w:end w:w="75" w:type="dxa"/>
            </w:tcMar>
            <w:shd w:fill="F3F5F7"/>
          </w:tcPr>
          <w:p>
            <w:r>
              <w:rPr>
                <w:rFonts w:ascii="Aptos" w:hAnsi="Aptos"/>
                <w:b/>
                <w:color w:val="1D242B"/>
                <w:sz w:val="16"/>
              </w:rPr>
              <w:t>CARC 29</w:t>
            </w:r>
          </w:p>
        </w:tc>
        <w:tc>
          <w:tcPr>
            <w:tcW w:type="dxa" w:w="3485"/>
            <w:tcMar>
              <w:top w:w="70" w:type="dxa"/>
              <w:start w:w="75" w:type="dxa"/>
              <w:bottom w:w="70" w:type="dxa"/>
              <w:end w:w="75" w:type="dxa"/>
            </w:tcMar>
            <w:shd w:fill="F3F5F7"/>
          </w:tcPr>
          <w:p>
            <w:r>
              <w:rPr>
                <w:rFonts w:ascii="Aptos" w:hAnsi="Aptos"/>
                <w:b w:val="0"/>
                <w:color w:val="1D242B"/>
                <w:sz w:val="16"/>
              </w:rPr>
              <w:t>Filing time limit has expired.</w:t>
            </w:r>
          </w:p>
        </w:tc>
        <w:tc>
          <w:tcPr>
            <w:tcW w:type="dxa" w:w="3485"/>
            <w:tcMar>
              <w:top w:w="70" w:type="dxa"/>
              <w:start w:w="75" w:type="dxa"/>
              <w:bottom w:w="70" w:type="dxa"/>
              <w:end w:w="75" w:type="dxa"/>
            </w:tcMar>
            <w:shd w:fill="F3F5F7"/>
          </w:tcPr>
          <w:p>
            <w:r>
              <w:rPr>
                <w:rFonts w:ascii="Aptos" w:hAnsi="Aptos"/>
                <w:b w:val="0"/>
                <w:color w:val="1D242B"/>
                <w:sz w:val="16"/>
              </w:rPr>
              <w:t>Verify original receipt/acceptance evidence and the payer/state deadline before deciding whether an appeal is supportable.</w:t>
            </w:r>
          </w:p>
        </w:tc>
      </w:tr>
      <w:tr>
        <w:trPr>
          <w:cantSplit/>
        </w:trPr>
        <w:tc>
          <w:tcPr>
            <w:tcW w:type="dxa" w:w="3485"/>
            <w:tcMar>
              <w:top w:w="70" w:type="dxa"/>
              <w:start w:w="75" w:type="dxa"/>
              <w:bottom w:w="70" w:type="dxa"/>
              <w:end w:w="75" w:type="dxa"/>
            </w:tcMar>
          </w:tcPr>
          <w:p>
            <w:r>
              <w:rPr>
                <w:rFonts w:ascii="Aptos" w:hAnsi="Aptos"/>
                <w:b/>
                <w:color w:val="1D242B"/>
                <w:sz w:val="16"/>
              </w:rPr>
              <w:t>CARC 96</w:t>
            </w:r>
          </w:p>
        </w:tc>
        <w:tc>
          <w:tcPr>
            <w:tcW w:type="dxa" w:w="3485"/>
            <w:tcMar>
              <w:top w:w="70" w:type="dxa"/>
              <w:start w:w="75" w:type="dxa"/>
              <w:bottom w:w="70" w:type="dxa"/>
              <w:end w:w="75" w:type="dxa"/>
            </w:tcMar>
          </w:tcPr>
          <w:p>
            <w:r>
              <w:rPr>
                <w:rFonts w:ascii="Aptos" w:hAnsi="Aptos"/>
                <w:b w:val="0"/>
                <w:color w:val="1D242B"/>
                <w:sz w:val="16"/>
              </w:rPr>
              <w:t>Non-covered charge(s).</w:t>
            </w:r>
          </w:p>
        </w:tc>
        <w:tc>
          <w:tcPr>
            <w:tcW w:type="dxa" w:w="3485"/>
            <w:tcMar>
              <w:top w:w="70" w:type="dxa"/>
              <w:start w:w="75" w:type="dxa"/>
              <w:bottom w:w="70" w:type="dxa"/>
              <w:end w:w="75" w:type="dxa"/>
            </w:tcMar>
          </w:tcPr>
          <w:p>
            <w:r>
              <w:rPr>
                <w:rFonts w:ascii="Aptos" w:hAnsi="Aptos"/>
                <w:b w:val="0"/>
                <w:color w:val="1D242B"/>
                <w:sz w:val="16"/>
              </w:rPr>
              <w:t>Use the related remark/policy detail to determine whether the issue is benefit coverage, service/program fit, or claim construction.</w:t>
            </w:r>
          </w:p>
        </w:tc>
      </w:tr>
      <w:tr>
        <w:trPr>
          <w:cantSplit/>
        </w:trPr>
        <w:tc>
          <w:tcPr>
            <w:tcW w:type="dxa" w:w="3485"/>
            <w:tcMar>
              <w:top w:w="70" w:type="dxa"/>
              <w:start w:w="75" w:type="dxa"/>
              <w:bottom w:w="70" w:type="dxa"/>
              <w:end w:w="75" w:type="dxa"/>
            </w:tcMar>
            <w:shd w:fill="F3F5F7"/>
          </w:tcPr>
          <w:p>
            <w:r>
              <w:rPr>
                <w:rFonts w:ascii="Aptos" w:hAnsi="Aptos"/>
                <w:b/>
                <w:color w:val="1D242B"/>
                <w:sz w:val="16"/>
              </w:rPr>
              <w:t>CARC 109</w:t>
            </w:r>
          </w:p>
        </w:tc>
        <w:tc>
          <w:tcPr>
            <w:tcW w:type="dxa" w:w="3485"/>
            <w:tcMar>
              <w:top w:w="70" w:type="dxa"/>
              <w:start w:w="75" w:type="dxa"/>
              <w:bottom w:w="70" w:type="dxa"/>
              <w:end w:w="75" w:type="dxa"/>
            </w:tcMar>
            <w:shd w:fill="F3F5F7"/>
          </w:tcPr>
          <w:p>
            <w:r>
              <w:rPr>
                <w:rFonts w:ascii="Aptos" w:hAnsi="Aptos"/>
                <w:b w:val="0"/>
                <w:color w:val="1D242B"/>
                <w:sz w:val="16"/>
              </w:rPr>
              <w:t>Claim/service is not covered by this payer/contractor; send to the correct payer/contractor.</w:t>
            </w:r>
          </w:p>
        </w:tc>
        <w:tc>
          <w:tcPr>
            <w:tcW w:type="dxa" w:w="3485"/>
            <w:tcMar>
              <w:top w:w="70" w:type="dxa"/>
              <w:start w:w="75" w:type="dxa"/>
              <w:bottom w:w="70" w:type="dxa"/>
              <w:end w:w="75" w:type="dxa"/>
            </w:tcMar>
            <w:shd w:fill="F3F5F7"/>
          </w:tcPr>
          <w:p>
            <w:r>
              <w:rPr>
                <w:rFonts w:ascii="Aptos" w:hAnsi="Aptos"/>
                <w:b w:val="0"/>
                <w:color w:val="1D242B"/>
                <w:sz w:val="16"/>
              </w:rPr>
              <w:t>Verify plan assignment and payer lane for the date of service.</w:t>
            </w:r>
          </w:p>
        </w:tc>
      </w:tr>
    </w:tbl>
    <w:tbl>
      <w:tblPr>
        <w:tblW w:type="auto" w:w="0"/>
        <w:jc w:val="center"/>
        <w:tblLayout w:type="fixed"/>
        <w:tblLook w:firstColumn="1" w:firstRow="1" w:lastColumn="0" w:lastRow="0" w:noHBand="0" w:noVBand="1" w:val="04A0"/>
      </w:tblPr>
      <w:tblGrid>
        <w:gridCol w:w="10454"/>
      </w:tblGrid>
      <w:tr>
        <w:trPr>
          <w:cantSplit/>
        </w:trPr>
        <w:tc>
          <w:tcPr>
            <w:tcW w:type="dxa" w:w="10454"/>
            <w:shd w:fill="F7F0D8"/>
            <w:tcMar>
              <w:top w:w="120" w:type="dxa"/>
              <w:start w:w="140" w:type="dxa"/>
              <w:bottom w:w="120" w:type="dxa"/>
              <w:end w:w="140" w:type="dxa"/>
            </w:tcMar>
            <w:tcBorders>
              <w:left w:val="single" w:sz="18" w:color="C9A227"/>
            </w:tcBorders>
          </w:tcPr>
          <w:p>
            <w:pPr>
              <w:spacing w:after="80"/>
            </w:pPr>
            <w:r>
              <w:rPr>
                <w:rFonts w:ascii="Aptos" w:hAnsi="Aptos"/>
                <w:b/>
                <w:color w:val="C9A227"/>
                <w:sz w:val="21"/>
              </w:rPr>
              <w:t>Do not diagnose from the CARC alone</w:t>
            </w:r>
          </w:p>
          <w:p>
            <w:pPr>
              <w:spacing w:after="0"/>
            </w:pPr>
            <w:r>
              <w:rPr>
                <w:rFonts w:ascii="Aptos" w:hAnsi="Aptos"/>
                <w:color w:val="1D242B"/>
                <w:sz w:val="19"/>
              </w:rPr>
              <w:t>Some CARCs explicitly require an accompanying RARC or other detail. Always read the complete ERA/EOB/portal message and verify the payer/state rule that controls the claim.</w:t>
            </w:r>
          </w:p>
        </w:tc>
      </w:tr>
    </w:tbl>
    <w:p>
      <w:pPr>
        <w:widowControl/>
        <w:spacing w:after="20"/>
      </w:pPr>
    </w:p>
    <w:p>
      <w:pPr>
        <w:pStyle w:val="Heading2"/>
        <w:keepNext/>
        <w:widowControl/>
        <w:spacing w:before="100" w:after="100"/>
      </w:pPr>
      <w:r>
        <w:rPr>
          <w:rFonts w:ascii="Aptos" w:hAnsi="Aptos"/>
          <w:b/>
          <w:color w:val="0B213B"/>
          <w:sz w:val="25"/>
        </w:rPr>
        <w:t>The resolution pathway</w:t>
      </w:r>
    </w:p>
    <w:p>
      <w:pPr>
        <w:widowControl/>
        <w:spacing w:after="60"/>
      </w:pPr>
      <w:r>
        <w:rPr>
          <w:rFonts w:ascii="Aptos" w:hAnsi="Aptos"/>
          <w:b/>
          <w:color w:val="0B213B"/>
          <w:sz w:val="18"/>
        </w:rPr>
        <w:t xml:space="preserve">Corrected claim / replacement: </w:t>
      </w:r>
      <w:r>
        <w:rPr>
          <w:rFonts w:ascii="Aptos" w:hAnsi="Aptos"/>
          <w:color w:val="1D242B"/>
          <w:sz w:val="18"/>
        </w:rPr>
        <w:t>Use when the claim data is wrong but the underlying service is billable and payer rules permit correction.</w:t>
      </w:r>
    </w:p>
    <w:p>
      <w:pPr>
        <w:widowControl/>
        <w:spacing w:after="60"/>
      </w:pPr>
      <w:r>
        <w:rPr>
          <w:rFonts w:ascii="Aptos" w:hAnsi="Aptos"/>
          <w:b/>
          <w:color w:val="0B213B"/>
          <w:sz w:val="18"/>
        </w:rPr>
        <w:t xml:space="preserve">Void + rebill: </w:t>
      </w:r>
      <w:r>
        <w:rPr>
          <w:rFonts w:ascii="Aptos" w:hAnsi="Aptos"/>
          <w:color w:val="1D242B"/>
          <w:sz w:val="18"/>
        </w:rPr>
        <w:t>Use only when the payer/state workflow requires a void of an incorrectly adjudicated claim before replacement.</w:t>
      </w:r>
    </w:p>
    <w:p>
      <w:pPr>
        <w:widowControl/>
        <w:spacing w:after="60"/>
      </w:pPr>
      <w:r>
        <w:rPr>
          <w:rFonts w:ascii="Aptos" w:hAnsi="Aptos"/>
          <w:b/>
          <w:color w:val="0B213B"/>
          <w:sz w:val="18"/>
        </w:rPr>
        <w:t xml:space="preserve">Resubmission: </w:t>
      </w:r>
      <w:r>
        <w:rPr>
          <w:rFonts w:ascii="Aptos" w:hAnsi="Aptos"/>
          <w:color w:val="1D242B"/>
          <w:sz w:val="18"/>
        </w:rPr>
        <w:t>Use when the payer instructs resubmission after a specific correctable condition is resolved. Avoid duplicate creation.</w:t>
      </w:r>
    </w:p>
    <w:p>
      <w:pPr>
        <w:widowControl/>
        <w:spacing w:after="60"/>
      </w:pPr>
      <w:r>
        <w:rPr>
          <w:rFonts w:ascii="Aptos" w:hAnsi="Aptos"/>
          <w:b/>
          <w:color w:val="0B213B"/>
          <w:sz w:val="18"/>
        </w:rPr>
        <w:t xml:space="preserve">Documentation response: </w:t>
      </w:r>
      <w:r>
        <w:rPr>
          <w:rFonts w:ascii="Aptos" w:hAnsi="Aptos"/>
          <w:color w:val="1D242B"/>
          <w:sz w:val="18"/>
        </w:rPr>
        <w:t>Use when the payer has requested records or additional information and the service is otherwise supportable.</w:t>
      </w:r>
    </w:p>
    <w:p>
      <w:pPr>
        <w:widowControl/>
        <w:spacing w:after="60"/>
      </w:pPr>
      <w:r>
        <w:rPr>
          <w:rFonts w:ascii="Aptos" w:hAnsi="Aptos"/>
          <w:b/>
          <w:color w:val="0B213B"/>
          <w:sz w:val="18"/>
        </w:rPr>
        <w:t xml:space="preserve">Appeal / dispute: </w:t>
      </w:r>
      <w:r>
        <w:rPr>
          <w:rFonts w:ascii="Aptos" w:hAnsi="Aptos"/>
          <w:color w:val="1D242B"/>
          <w:sz w:val="18"/>
        </w:rPr>
        <w:t>Use when verification shows the payer decision or payment appears inconsistent with controlling authorization, policy, contract, rate, or documented facts.</w:t>
      </w:r>
    </w:p>
    <w:p>
      <w:pPr>
        <w:widowControl/>
        <w:spacing w:after="60"/>
      </w:pPr>
      <w:r>
        <w:rPr>
          <w:rFonts w:ascii="Aptos" w:hAnsi="Aptos"/>
          <w:b/>
          <w:color w:val="0B213B"/>
          <w:sz w:val="18"/>
        </w:rPr>
        <w:t xml:space="preserve">Escalation: </w:t>
      </w:r>
      <w:r>
        <w:rPr>
          <w:rFonts w:ascii="Aptos" w:hAnsi="Aptos"/>
          <w:color w:val="1D242B"/>
          <w:sz w:val="18"/>
        </w:rPr>
        <w:t>Use when the issue cannot be resolved within the revenue-cycle professional’s authority or the payer/state systems show conflicting controlling information.</w:t>
      </w:r>
    </w:p>
    <w:p>
      <w:pPr>
        <w:pStyle w:val="Heading1"/>
        <w:keepNext/>
        <w:widowControl/>
        <w:spacing w:before="140" w:after="100"/>
      </w:pPr>
      <w:r>
        <w:rPr>
          <w:rFonts w:ascii="Aptos" w:hAnsi="Aptos"/>
          <w:b/>
          <w:color w:val="0B213B"/>
          <w:sz w:val="32"/>
        </w:rPr>
        <w:t>4. Three Fast Diagnosis Examples</w:t>
      </w:r>
    </w:p>
    <w:p>
      <w:pPr>
        <w:pStyle w:val="Heading2"/>
        <w:keepNext/>
        <w:widowControl/>
        <w:spacing w:before="100" w:after="100"/>
      </w:pPr>
      <w:r>
        <w:rPr>
          <w:rFonts w:ascii="Aptos" w:hAnsi="Aptos"/>
          <w:b/>
          <w:color w:val="0B213B"/>
          <w:sz w:val="25"/>
        </w:rPr>
        <w:t>Example A — Authorization denial</w:t>
      </w:r>
    </w:p>
    <w:p>
      <w:pPr>
        <w:keepNext w:val="0"/>
        <w:widowControl/>
        <w:spacing w:after="80"/>
      </w:pPr>
      <w:r>
        <w:rPr>
          <w:rFonts w:ascii="Aptos" w:hAnsi="Aptos"/>
          <w:color w:val="1D242B"/>
          <w:sz w:val="20"/>
        </w:rPr>
        <w:t>The ERA indicates an authorization-related denial. The authorization exists, but the billed modifier does not match the authorized service configuration.</w:t>
      </w:r>
    </w:p>
    <w:p>
      <w:pPr>
        <w:widowControl/>
        <w:spacing w:after="40"/>
        <w:ind w:left="173"/>
      </w:pPr>
      <w:r>
        <w:rPr>
          <w:rFonts w:ascii="Aptos" w:hAnsi="Aptos"/>
          <w:b/>
          <w:color w:val="0B213B"/>
          <w:sz w:val="18"/>
        </w:rPr>
        <w:t xml:space="preserve">VERIFY: </w:t>
      </w:r>
      <w:r>
        <w:rPr>
          <w:rFonts w:ascii="Aptos" w:hAnsi="Aptos"/>
          <w:color w:val="1D242B"/>
          <w:sz w:val="18"/>
        </w:rPr>
        <w:t>Authorization record, billed code/modifier, dates, units, provider and payer applicability.</w:t>
      </w:r>
    </w:p>
    <w:p>
      <w:pPr>
        <w:widowControl/>
        <w:spacing w:after="40"/>
        <w:ind w:left="173"/>
      </w:pPr>
      <w:r>
        <w:rPr>
          <w:rFonts w:ascii="Aptos" w:hAnsi="Aptos"/>
          <w:b/>
          <w:color w:val="0B213B"/>
          <w:sz w:val="18"/>
        </w:rPr>
        <w:t xml:space="preserve">DIAGNOSIS: </w:t>
      </w:r>
      <w:r>
        <w:rPr>
          <w:rFonts w:ascii="Aptos" w:hAnsi="Aptos"/>
          <w:color w:val="1D242B"/>
          <w:sz w:val="18"/>
        </w:rPr>
        <w:t>The authorization is valid; the claim construction does not match it.</w:t>
      </w:r>
    </w:p>
    <w:p>
      <w:pPr>
        <w:widowControl/>
        <w:spacing w:after="40"/>
        <w:ind w:left="173"/>
      </w:pPr>
      <w:r>
        <w:rPr>
          <w:rFonts w:ascii="Aptos" w:hAnsi="Aptos"/>
          <w:b/>
          <w:color w:val="0B213B"/>
          <w:sz w:val="18"/>
        </w:rPr>
        <w:t xml:space="preserve">ACTION: </w:t>
      </w:r>
      <w:r>
        <w:rPr>
          <w:rFonts w:ascii="Aptos" w:hAnsi="Aptos"/>
          <w:color w:val="1D242B"/>
          <w:sz w:val="18"/>
        </w:rPr>
        <w:t>Correct the claim using the payer’s replacement/correction process. Do not appeal a payer edit that is factually correct.</w:t>
      </w:r>
    </w:p>
    <w:p>
      <w:pPr>
        <w:widowControl/>
        <w:spacing w:after="40"/>
        <w:ind w:left="173"/>
      </w:pPr>
      <w:r>
        <w:rPr>
          <w:rFonts w:ascii="Aptos" w:hAnsi="Aptos"/>
          <w:b/>
          <w:color w:val="0B213B"/>
          <w:sz w:val="18"/>
        </w:rPr>
        <w:t xml:space="preserve">PREVENT: </w:t>
      </w:r>
      <w:r>
        <w:rPr>
          <w:rFonts w:ascii="Aptos" w:hAnsi="Aptos"/>
          <w:color w:val="1D242B"/>
          <w:sz w:val="18"/>
        </w:rPr>
        <w:t>Add authorization-to-claim configuration verification before release.</w:t>
      </w:r>
    </w:p>
    <w:p>
      <w:pPr>
        <w:pStyle w:val="Heading2"/>
        <w:keepNext/>
        <w:widowControl/>
        <w:spacing w:before="100" w:after="100"/>
      </w:pPr>
      <w:r>
        <w:rPr>
          <w:rFonts w:ascii="Aptos" w:hAnsi="Aptos"/>
          <w:b/>
          <w:color w:val="0B213B"/>
          <w:sz w:val="25"/>
        </w:rPr>
        <w:t>Example B — Timely filing</w:t>
      </w:r>
    </w:p>
    <w:p>
      <w:pPr>
        <w:keepNext w:val="0"/>
        <w:widowControl/>
        <w:spacing w:after="80"/>
      </w:pPr>
      <w:r>
        <w:rPr>
          <w:rFonts w:ascii="Aptos" w:hAnsi="Aptos"/>
          <w:color w:val="1D242B"/>
          <w:sz w:val="20"/>
        </w:rPr>
        <w:t>The payer denies for filing limit. The clearinghouse shows the original claim was accepted before the deadline, but the payer portal does not show it.</w:t>
      </w:r>
    </w:p>
    <w:p>
      <w:pPr>
        <w:widowControl/>
        <w:spacing w:after="40"/>
        <w:ind w:left="173"/>
      </w:pPr>
      <w:r>
        <w:rPr>
          <w:rFonts w:ascii="Aptos" w:hAnsi="Aptos"/>
          <w:b/>
          <w:color w:val="0B213B"/>
          <w:sz w:val="18"/>
        </w:rPr>
        <w:t xml:space="preserve">VERIFY: </w:t>
      </w:r>
      <w:r>
        <w:rPr>
          <w:rFonts w:ascii="Aptos" w:hAnsi="Aptos"/>
          <w:color w:val="1D242B"/>
          <w:sz w:val="18"/>
        </w:rPr>
        <w:t>Deadline, clearinghouse acceptance, payer acknowledgment/claim history, any payer-specific proof standard.</w:t>
      </w:r>
    </w:p>
    <w:p>
      <w:pPr>
        <w:widowControl/>
        <w:spacing w:after="40"/>
        <w:ind w:left="173"/>
      </w:pPr>
      <w:r>
        <w:rPr>
          <w:rFonts w:ascii="Aptos" w:hAnsi="Aptos"/>
          <w:b/>
          <w:color w:val="0B213B"/>
          <w:sz w:val="18"/>
        </w:rPr>
        <w:t xml:space="preserve">DIAGNOSIS: </w:t>
      </w:r>
      <w:r>
        <w:rPr>
          <w:rFonts w:ascii="Aptos" w:hAnsi="Aptos"/>
          <w:color w:val="1D242B"/>
          <w:sz w:val="18"/>
        </w:rPr>
        <w:t>Potential payer-receipt or adjudication-history discrepancy, not automatically a true late filing.</w:t>
      </w:r>
    </w:p>
    <w:p>
      <w:pPr>
        <w:widowControl/>
        <w:spacing w:after="40"/>
        <w:ind w:left="173"/>
      </w:pPr>
      <w:r>
        <w:rPr>
          <w:rFonts w:ascii="Aptos" w:hAnsi="Aptos"/>
          <w:b/>
          <w:color w:val="0B213B"/>
          <w:sz w:val="18"/>
        </w:rPr>
        <w:t xml:space="preserve">ACTION: </w:t>
      </w:r>
      <w:r>
        <w:rPr>
          <w:rFonts w:ascii="Aptos" w:hAnsi="Aptos"/>
          <w:color w:val="1D242B"/>
          <w:sz w:val="18"/>
        </w:rPr>
        <w:t>Use the payer’s reconsideration/appeal path with timely-filing evidence if the rule supports it.</w:t>
      </w:r>
    </w:p>
    <w:p>
      <w:pPr>
        <w:widowControl/>
        <w:spacing w:after="40"/>
        <w:ind w:left="173"/>
      </w:pPr>
      <w:r>
        <w:rPr>
          <w:rFonts w:ascii="Aptos" w:hAnsi="Aptos"/>
          <w:b/>
          <w:color w:val="0B213B"/>
          <w:sz w:val="18"/>
        </w:rPr>
        <w:t xml:space="preserve">PREVENT: </w:t>
      </w:r>
      <w:r>
        <w:rPr>
          <w:rFonts w:ascii="Aptos" w:hAnsi="Aptos"/>
          <w:color w:val="1D242B"/>
          <w:sz w:val="18"/>
        </w:rPr>
        <w:t>Monitor claims that are accepted by the clearinghouse but do not appear in payer adjudication within the expected window.</w:t>
      </w:r>
    </w:p>
    <w:p>
      <w:pPr>
        <w:pStyle w:val="Heading2"/>
        <w:keepNext/>
        <w:widowControl/>
        <w:spacing w:before="100" w:after="100"/>
      </w:pPr>
      <w:r>
        <w:rPr>
          <w:rFonts w:ascii="Aptos" w:hAnsi="Aptos"/>
          <w:b/>
          <w:color w:val="0B213B"/>
          <w:sz w:val="25"/>
        </w:rPr>
        <w:t>Example C — EVV-linked denial</w:t>
      </w:r>
    </w:p>
    <w:p>
      <w:pPr>
        <w:keepNext w:val="0"/>
        <w:widowControl/>
        <w:spacing w:after="80"/>
      </w:pPr>
      <w:r>
        <w:rPr>
          <w:rFonts w:ascii="Aptos" w:hAnsi="Aptos"/>
          <w:color w:val="1D242B"/>
          <w:sz w:val="20"/>
        </w:rPr>
        <w:t>A personal care claim denies after the visit transmitted from the EVV system. The visit exists, but an unresolved exception prevented the visit from reaching the payer/aggregator in matched status.</w:t>
      </w:r>
    </w:p>
    <w:p>
      <w:pPr>
        <w:widowControl/>
        <w:spacing w:after="40"/>
        <w:ind w:left="173"/>
      </w:pPr>
      <w:r>
        <w:rPr>
          <w:rFonts w:ascii="Aptos" w:hAnsi="Aptos"/>
          <w:b/>
          <w:color w:val="0B213B"/>
          <w:sz w:val="18"/>
        </w:rPr>
        <w:t xml:space="preserve">VERIFY: </w:t>
      </w:r>
      <w:r>
        <w:rPr>
          <w:rFonts w:ascii="Aptos" w:hAnsi="Aptos"/>
          <w:color w:val="1D242B"/>
          <w:sz w:val="18"/>
        </w:rPr>
        <w:t>EVV applicability, visit details, exception status, aggregator/payer acceptance, claim-to-visit match.</w:t>
      </w:r>
    </w:p>
    <w:p>
      <w:pPr>
        <w:widowControl/>
        <w:spacing w:after="40"/>
        <w:ind w:left="173"/>
      </w:pPr>
      <w:r>
        <w:rPr>
          <w:rFonts w:ascii="Aptos" w:hAnsi="Aptos"/>
          <w:b/>
          <w:color w:val="0B213B"/>
          <w:sz w:val="18"/>
        </w:rPr>
        <w:t xml:space="preserve">DIAGNOSIS: </w:t>
      </w:r>
      <w:r>
        <w:rPr>
          <w:rFonts w:ascii="Aptos" w:hAnsi="Aptos"/>
          <w:color w:val="1D242B"/>
          <w:sz w:val="18"/>
        </w:rPr>
        <w:t>The service may be valid, but the EVV data flow was not complete when the claim was released.</w:t>
      </w:r>
    </w:p>
    <w:p>
      <w:pPr>
        <w:widowControl/>
        <w:spacing w:after="40"/>
        <w:ind w:left="173"/>
      </w:pPr>
      <w:r>
        <w:rPr>
          <w:rFonts w:ascii="Aptos" w:hAnsi="Aptos"/>
          <w:b/>
          <w:color w:val="0B213B"/>
          <w:sz w:val="18"/>
        </w:rPr>
        <w:t xml:space="preserve">ACTION: </w:t>
      </w:r>
      <w:r>
        <w:rPr>
          <w:rFonts w:ascii="Aptos" w:hAnsi="Aptos"/>
          <w:color w:val="1D242B"/>
          <w:sz w:val="18"/>
        </w:rPr>
        <w:t>Resolve the legitimate exception and follow the state/payer correction or resubmission process.</w:t>
      </w:r>
    </w:p>
    <w:p>
      <w:pPr>
        <w:widowControl/>
        <w:spacing w:after="40"/>
        <w:ind w:left="173"/>
      </w:pPr>
      <w:r>
        <w:rPr>
          <w:rFonts w:ascii="Aptos" w:hAnsi="Aptos"/>
          <w:b/>
          <w:color w:val="0B213B"/>
          <w:sz w:val="18"/>
        </w:rPr>
        <w:t xml:space="preserve">PREVENT: </w:t>
      </w:r>
      <w:r>
        <w:rPr>
          <w:rFonts w:ascii="Aptos" w:hAnsi="Aptos"/>
          <w:color w:val="1D242B"/>
          <w:sz w:val="18"/>
        </w:rPr>
        <w:t>Hold affected claims until required EVV reconciliation is complete.</w:t>
      </w:r>
    </w:p>
    <w:tbl>
      <w:tblPr>
        <w:tblW w:type="auto" w:w="0"/>
        <w:jc w:val="center"/>
        <w:tblLayout w:type="fixed"/>
        <w:tblLook w:firstColumn="1" w:firstRow="1" w:lastColumn="0" w:lastRow="0" w:noHBand="0" w:noVBand="1" w:val="04A0"/>
      </w:tblPr>
      <w:tblGrid>
        <w:gridCol w:w="10454"/>
      </w:tblGrid>
      <w:tr>
        <w:trPr>
          <w:cantSplit/>
        </w:trPr>
        <w:tc>
          <w:tcPr>
            <w:tcW w:type="dxa" w:w="10454"/>
            <w:shd w:fill="EAF1F6"/>
            <w:tcMar>
              <w:top w:w="120" w:type="dxa"/>
              <w:start w:w="140" w:type="dxa"/>
              <w:bottom w:w="120" w:type="dxa"/>
              <w:end w:w="140" w:type="dxa"/>
            </w:tcMar>
            <w:tcBorders>
              <w:left w:val="single" w:sz="18" w:color="0B213B"/>
            </w:tcBorders>
          </w:tcPr>
          <w:p>
            <w:pPr>
              <w:spacing w:after="80"/>
            </w:pPr>
            <w:r>
              <w:rPr>
                <w:rFonts w:ascii="Aptos" w:hAnsi="Aptos"/>
                <w:b/>
                <w:color w:val="0B213B"/>
                <w:sz w:val="21"/>
              </w:rPr>
              <w:t>Pattern to remember</w:t>
            </w:r>
          </w:p>
          <w:p>
            <w:pPr>
              <w:spacing w:after="0"/>
            </w:pPr>
            <w:r>
              <w:rPr>
                <w:rFonts w:ascii="Aptos" w:hAnsi="Aptos"/>
                <w:color w:val="1D242B"/>
                <w:sz w:val="19"/>
              </w:rPr>
              <w:t>The correct resolution usually follows the earliest verified failure point. A denial that looks like “billing” can be caused by a readiness, authorization, EVV, documentation, or payer-assignment problem upstream.</w:t>
            </w:r>
          </w:p>
        </w:tc>
      </w:tr>
    </w:tbl>
    <w:p>
      <w:pPr>
        <w:widowControl/>
        <w:spacing w:after="20"/>
      </w:pPr>
    </w:p>
    <w:p>
      <w:pPr>
        <w:widowControl/>
      </w:pPr>
      <w:r>
        <w:br w:type="page"/>
      </w:r>
    </w:p>
    <w:p>
      <w:pPr>
        <w:pStyle w:val="Heading1"/>
        <w:keepNext/>
        <w:widowControl/>
        <w:spacing w:before="140" w:after="100"/>
      </w:pPr>
      <w:r>
        <w:rPr>
          <w:rFonts w:ascii="Aptos" w:hAnsi="Aptos"/>
          <w:b/>
          <w:color w:val="0B213B"/>
          <w:sz w:val="32"/>
        </w:rPr>
        <w:t>5. Evidence and Follow-Up Checklist</w:t>
      </w:r>
    </w:p>
    <w:p>
      <w:pPr>
        <w:keepNext w:val="0"/>
        <w:widowControl/>
        <w:spacing w:after="120"/>
      </w:pPr>
      <w:r>
        <w:rPr>
          <w:rFonts w:ascii="Aptos" w:hAnsi="Aptos"/>
          <w:color w:val="1D242B"/>
          <w:sz w:val="20"/>
        </w:rPr>
        <w:t>For each denial worked, retain enough evidence for another qualified person to reconstruct what happened, what was verified, and why the action was taken. Use the agency’s approved system of record rather than creating unnecessary shadow logs.</w:t>
      </w:r>
    </w:p>
    <w:p>
      <w:pPr>
        <w:pStyle w:val="ListBullet"/>
        <w:widowControl/>
        <w:spacing w:after="40"/>
      </w:pPr>
      <w:r>
        <w:rPr>
          <w:rFonts w:ascii="Aptos" w:hAnsi="Aptos"/>
          <w:color w:val="1D242B"/>
          <w:sz w:val="19"/>
        </w:rPr>
        <w:t>Denial/remittance message and claim/line identifiers</w:t>
      </w:r>
    </w:p>
    <w:p>
      <w:pPr>
        <w:pStyle w:val="ListBullet"/>
        <w:widowControl/>
        <w:spacing w:after="40"/>
      </w:pPr>
      <w:r>
        <w:rPr>
          <w:rFonts w:ascii="Aptos" w:hAnsi="Aptos"/>
          <w:color w:val="1D242B"/>
          <w:sz w:val="19"/>
        </w:rPr>
        <w:t>CARC/RARC and payer-specific explanation, when present</w:t>
      </w:r>
    </w:p>
    <w:p>
      <w:pPr>
        <w:pStyle w:val="ListBullet"/>
        <w:widowControl/>
        <w:spacing w:after="40"/>
      </w:pPr>
      <w:r>
        <w:rPr>
          <w:rFonts w:ascii="Aptos" w:hAnsi="Aptos"/>
          <w:color w:val="1D242B"/>
          <w:sz w:val="19"/>
        </w:rPr>
        <w:t>Original claim and relevant submission/acceptance evidence</w:t>
      </w:r>
    </w:p>
    <w:p>
      <w:pPr>
        <w:pStyle w:val="ListBullet"/>
        <w:widowControl/>
        <w:spacing w:after="40"/>
      </w:pPr>
      <w:r>
        <w:rPr>
          <w:rFonts w:ascii="Aptos" w:hAnsi="Aptos"/>
          <w:color w:val="1D242B"/>
          <w:sz w:val="19"/>
        </w:rPr>
        <w:t>Eligibility and payer-assignment evidence for the date of service</w:t>
      </w:r>
    </w:p>
    <w:p>
      <w:pPr>
        <w:pStyle w:val="ListBullet"/>
        <w:widowControl/>
        <w:spacing w:after="40"/>
      </w:pPr>
      <w:r>
        <w:rPr>
          <w:rFonts w:ascii="Aptos" w:hAnsi="Aptos"/>
          <w:color w:val="1D242B"/>
          <w:sz w:val="19"/>
        </w:rPr>
        <w:t>Authorization evidence, when applicable</w:t>
      </w:r>
    </w:p>
    <w:p>
      <w:pPr>
        <w:pStyle w:val="ListBullet"/>
        <w:widowControl/>
        <w:spacing w:after="40"/>
      </w:pPr>
      <w:r>
        <w:rPr>
          <w:rFonts w:ascii="Aptos" w:hAnsi="Aptos"/>
          <w:color w:val="1D242B"/>
          <w:sz w:val="19"/>
        </w:rPr>
        <w:t>EVV visit/exception/aggregator evidence, when applicable</w:t>
      </w:r>
    </w:p>
    <w:p>
      <w:pPr>
        <w:pStyle w:val="ListBullet"/>
        <w:widowControl/>
        <w:spacing w:after="40"/>
      </w:pPr>
      <w:r>
        <w:rPr>
          <w:rFonts w:ascii="Aptos" w:hAnsi="Aptos"/>
          <w:color w:val="1D242B"/>
          <w:sz w:val="19"/>
        </w:rPr>
        <w:t>Provider enrollment/network evidence, when applicable</w:t>
      </w:r>
    </w:p>
    <w:p>
      <w:pPr>
        <w:pStyle w:val="ListBullet"/>
        <w:widowControl/>
        <w:spacing w:after="40"/>
      </w:pPr>
      <w:r>
        <w:rPr>
          <w:rFonts w:ascii="Aptos" w:hAnsi="Aptos"/>
          <w:color w:val="1D242B"/>
          <w:sz w:val="19"/>
        </w:rPr>
        <w:t>Relevant service documentation or requested records</w:t>
      </w:r>
    </w:p>
    <w:p>
      <w:pPr>
        <w:pStyle w:val="ListBullet"/>
        <w:widowControl/>
        <w:spacing w:after="40"/>
      </w:pPr>
      <w:r>
        <w:rPr>
          <w:rFonts w:ascii="Aptos" w:hAnsi="Aptos"/>
          <w:color w:val="1D242B"/>
          <w:sz w:val="19"/>
        </w:rPr>
        <w:t>Corrected/replacement/appeal submission confirmation</w:t>
      </w:r>
    </w:p>
    <w:p>
      <w:pPr>
        <w:pStyle w:val="ListBullet"/>
        <w:widowControl/>
        <w:spacing w:after="40"/>
      </w:pPr>
      <w:r>
        <w:rPr>
          <w:rFonts w:ascii="Aptos" w:hAnsi="Aptos"/>
          <w:color w:val="1D242B"/>
          <w:sz w:val="19"/>
        </w:rPr>
        <w:t>Payer communication/reference number, if material</w:t>
      </w:r>
    </w:p>
    <w:p>
      <w:pPr>
        <w:pStyle w:val="ListBullet"/>
        <w:widowControl/>
        <w:spacing w:after="40"/>
      </w:pPr>
      <w:r>
        <w:rPr>
          <w:rFonts w:ascii="Aptos" w:hAnsi="Aptos"/>
          <w:color w:val="1D242B"/>
          <w:sz w:val="19"/>
        </w:rPr>
        <w:t>Next follow-up date and responsible owner</w:t>
      </w:r>
    </w:p>
    <w:p>
      <w:pPr>
        <w:pStyle w:val="ListBullet"/>
        <w:widowControl/>
        <w:spacing w:after="40"/>
      </w:pPr>
      <w:r>
        <w:rPr>
          <w:rFonts w:ascii="Aptos" w:hAnsi="Aptos"/>
          <w:color w:val="1D242B"/>
          <w:sz w:val="19"/>
        </w:rPr>
        <w:t>Root-cause/prevention action when the issue is repeatable</w:t>
      </w:r>
    </w:p>
    <w:p>
      <w:pPr>
        <w:pStyle w:val="Heading2"/>
        <w:keepNext/>
        <w:widowControl/>
        <w:spacing w:before="100" w:after="100"/>
      </w:pPr>
      <w:r>
        <w:rPr>
          <w:rFonts w:ascii="Aptos" w:hAnsi="Aptos"/>
          <w:b/>
          <w:color w:val="0B213B"/>
          <w:sz w:val="25"/>
        </w:rPr>
        <w:t>Root-cause prevention: ask one more question</w:t>
      </w:r>
    </w:p>
    <w:p>
      <w:pPr>
        <w:keepNext w:val="0"/>
        <w:widowControl/>
        <w:spacing w:after="100"/>
      </w:pPr>
      <w:r>
        <w:rPr>
          <w:rFonts w:ascii="Aptos" w:hAnsi="Aptos"/>
          <w:color w:val="1D242B"/>
          <w:sz w:val="20"/>
        </w:rPr>
        <w:t>After payment is recovered—or after the loss is correctly classified—ask: “What control should have prevented this from reaching adjudication?” The answer determines whether the issue is truly closed.</w:t>
      </w:r>
    </w:p>
    <w:tbl>
      <w:tblPr>
        <w:tblW w:type="auto" w:w="0"/>
        <w:jc w:val="center"/>
        <w:tblLayout w:type="fixed"/>
        <w:tblLook w:firstColumn="1" w:firstRow="1" w:lastColumn="0" w:lastRow="0" w:noHBand="0" w:noVBand="1" w:val="04A0"/>
      </w:tblPr>
      <w:tblGrid>
        <w:gridCol w:w="5227"/>
        <w:gridCol w:w="5227"/>
      </w:tblGrid>
      <w:tr>
        <w:trPr>
          <w:cantSplit/>
        </w:trPr>
        <w:tc>
          <w:tcPr>
            <w:tcW w:type="dxa" w:w="5227"/>
            <w:shd w:fill="0B213B"/>
            <w:tcMar>
              <w:top w:w="75" w:type="dxa"/>
              <w:start w:w="80" w:type="dxa"/>
              <w:bottom w:w="75" w:type="dxa"/>
              <w:end w:w="80" w:type="dxa"/>
            </w:tcMar>
          </w:tcPr>
          <w:p>
            <w:r>
              <w:rPr>
                <w:rFonts w:ascii="Aptos" w:hAnsi="Aptos"/>
                <w:b/>
                <w:color w:val="FFFFFF"/>
                <w:sz w:val="17"/>
              </w:rPr>
              <w:t>If you keep seeing…</w:t>
            </w:r>
          </w:p>
        </w:tc>
        <w:tc>
          <w:tcPr>
            <w:tcW w:type="dxa" w:w="5227"/>
            <w:shd w:fill="0B213B"/>
            <w:tcMar>
              <w:top w:w="75" w:type="dxa"/>
              <w:start w:w="80" w:type="dxa"/>
              <w:bottom w:w="75" w:type="dxa"/>
              <w:end w:w="80" w:type="dxa"/>
            </w:tcMar>
          </w:tcPr>
          <w:p>
            <w:r>
              <w:rPr>
                <w:rFonts w:ascii="Aptos" w:hAnsi="Aptos"/>
                <w:b/>
                <w:color w:val="FFFFFF"/>
                <w:sz w:val="17"/>
              </w:rPr>
              <w:t>Test this upstream control</w:t>
            </w:r>
          </w:p>
        </w:tc>
      </w:tr>
      <w:tr>
        <w:trPr>
          <w:cantSplit/>
        </w:trPr>
        <w:tc>
          <w:tcPr>
            <w:tcW w:type="dxa" w:w="5227"/>
            <w:tcMar>
              <w:top w:w="70" w:type="dxa"/>
              <w:start w:w="80" w:type="dxa"/>
              <w:bottom w:w="70" w:type="dxa"/>
              <w:end w:w="80" w:type="dxa"/>
            </w:tcMar>
          </w:tcPr>
          <w:p>
            <w:r>
              <w:rPr>
                <w:rFonts w:ascii="Aptos" w:hAnsi="Aptos"/>
                <w:b/>
                <w:color w:val="1D242B"/>
                <w:sz w:val="17"/>
              </w:rPr>
              <w:t>Repeated eligibility denials</w:t>
            </w:r>
          </w:p>
        </w:tc>
        <w:tc>
          <w:tcPr>
            <w:tcW w:type="dxa" w:w="5227"/>
            <w:tcMar>
              <w:top w:w="70" w:type="dxa"/>
              <w:start w:w="80" w:type="dxa"/>
              <w:bottom w:w="70" w:type="dxa"/>
              <w:end w:w="80" w:type="dxa"/>
            </w:tcMar>
          </w:tcPr>
          <w:p>
            <w:r>
              <w:rPr>
                <w:rFonts w:ascii="Aptos" w:hAnsi="Aptos"/>
                <w:b w:val="0"/>
                <w:color w:val="1D242B"/>
                <w:sz w:val="17"/>
              </w:rPr>
              <w:t>Is eligibility being verified at the right cadence and again when coverage changes are likely?</w:t>
            </w:r>
          </w:p>
        </w:tc>
      </w:tr>
      <w:tr>
        <w:trPr>
          <w:cantSplit/>
        </w:trPr>
        <w:tc>
          <w:tcPr>
            <w:tcW w:type="dxa" w:w="5227"/>
            <w:tcMar>
              <w:top w:w="70" w:type="dxa"/>
              <w:start w:w="80" w:type="dxa"/>
              <w:bottom w:w="70" w:type="dxa"/>
              <w:end w:w="80" w:type="dxa"/>
            </w:tcMar>
            <w:shd w:fill="F3F5F7"/>
          </w:tcPr>
          <w:p>
            <w:r>
              <w:rPr>
                <w:rFonts w:ascii="Aptos" w:hAnsi="Aptos"/>
                <w:b/>
                <w:color w:val="1D242B"/>
                <w:sz w:val="17"/>
              </w:rPr>
              <w:t>Authorization denials</w:t>
            </w:r>
          </w:p>
        </w:tc>
        <w:tc>
          <w:tcPr>
            <w:tcW w:type="dxa" w:w="5227"/>
            <w:tcMar>
              <w:top w:w="70" w:type="dxa"/>
              <w:start w:w="80" w:type="dxa"/>
              <w:bottom w:w="70" w:type="dxa"/>
              <w:end w:w="80" w:type="dxa"/>
            </w:tcMar>
            <w:shd w:fill="F3F5F7"/>
          </w:tcPr>
          <w:p>
            <w:r>
              <w:rPr>
                <w:rFonts w:ascii="Aptos" w:hAnsi="Aptos"/>
                <w:b w:val="0"/>
                <w:color w:val="1D242B"/>
                <w:sz w:val="17"/>
              </w:rPr>
              <w:t>Is the authorization reconciled to service delivery and claim configuration before billing?</w:t>
            </w:r>
          </w:p>
        </w:tc>
      </w:tr>
      <w:tr>
        <w:trPr>
          <w:cantSplit/>
        </w:trPr>
        <w:tc>
          <w:tcPr>
            <w:tcW w:type="dxa" w:w="5227"/>
            <w:tcMar>
              <w:top w:w="70" w:type="dxa"/>
              <w:start w:w="80" w:type="dxa"/>
              <w:bottom w:w="70" w:type="dxa"/>
              <w:end w:w="80" w:type="dxa"/>
            </w:tcMar>
          </w:tcPr>
          <w:p>
            <w:r>
              <w:rPr>
                <w:rFonts w:ascii="Aptos" w:hAnsi="Aptos"/>
                <w:b/>
                <w:color w:val="1D242B"/>
                <w:sz w:val="17"/>
              </w:rPr>
              <w:t>EVV denials</w:t>
            </w:r>
          </w:p>
        </w:tc>
        <w:tc>
          <w:tcPr>
            <w:tcW w:type="dxa" w:w="5227"/>
            <w:tcMar>
              <w:top w:w="70" w:type="dxa"/>
              <w:start w:w="80" w:type="dxa"/>
              <w:bottom w:w="70" w:type="dxa"/>
              <w:end w:w="80" w:type="dxa"/>
            </w:tcMar>
          </w:tcPr>
          <w:p>
            <w:r>
              <w:rPr>
                <w:rFonts w:ascii="Aptos" w:hAnsi="Aptos"/>
                <w:b w:val="0"/>
                <w:color w:val="1D242B"/>
                <w:sz w:val="17"/>
              </w:rPr>
              <w:t>Are unresolved EVV exceptions held before claim release, and is aggregator acceptance monitored?</w:t>
            </w:r>
          </w:p>
        </w:tc>
      </w:tr>
      <w:tr>
        <w:trPr>
          <w:cantSplit/>
        </w:trPr>
        <w:tc>
          <w:tcPr>
            <w:tcW w:type="dxa" w:w="5227"/>
            <w:tcMar>
              <w:top w:w="70" w:type="dxa"/>
              <w:start w:w="80" w:type="dxa"/>
              <w:bottom w:w="70" w:type="dxa"/>
              <w:end w:w="80" w:type="dxa"/>
            </w:tcMar>
            <w:shd w:fill="F3F5F7"/>
          </w:tcPr>
          <w:p>
            <w:r>
              <w:rPr>
                <w:rFonts w:ascii="Aptos" w:hAnsi="Aptos"/>
                <w:b/>
                <w:color w:val="1D242B"/>
                <w:sz w:val="17"/>
              </w:rPr>
              <w:t>Duplicate denials</w:t>
            </w:r>
          </w:p>
        </w:tc>
        <w:tc>
          <w:tcPr>
            <w:tcW w:type="dxa" w:w="5227"/>
            <w:tcMar>
              <w:top w:w="70" w:type="dxa"/>
              <w:start w:w="80" w:type="dxa"/>
              <w:bottom w:w="70" w:type="dxa"/>
              <w:end w:w="80" w:type="dxa"/>
            </w:tcMar>
            <w:shd w:fill="F3F5F7"/>
          </w:tcPr>
          <w:p>
            <w:r>
              <w:rPr>
                <w:rFonts w:ascii="Aptos" w:hAnsi="Aptos"/>
                <w:b w:val="0"/>
                <w:color w:val="1D242B"/>
                <w:sz w:val="17"/>
              </w:rPr>
              <w:t>Are staff verifying claim status before manual resubmission and using replacement/void logic correctly?</w:t>
            </w:r>
          </w:p>
        </w:tc>
      </w:tr>
      <w:tr>
        <w:trPr>
          <w:cantSplit/>
        </w:trPr>
        <w:tc>
          <w:tcPr>
            <w:tcW w:type="dxa" w:w="5227"/>
            <w:tcMar>
              <w:top w:w="70" w:type="dxa"/>
              <w:start w:w="80" w:type="dxa"/>
              <w:bottom w:w="70" w:type="dxa"/>
              <w:end w:w="80" w:type="dxa"/>
            </w:tcMar>
          </w:tcPr>
          <w:p>
            <w:r>
              <w:rPr>
                <w:rFonts w:ascii="Aptos" w:hAnsi="Aptos"/>
                <w:b/>
                <w:color w:val="1D242B"/>
                <w:sz w:val="17"/>
              </w:rPr>
              <w:t>Timely filing losses</w:t>
            </w:r>
          </w:p>
        </w:tc>
        <w:tc>
          <w:tcPr>
            <w:tcW w:type="dxa" w:w="5227"/>
            <w:tcMar>
              <w:top w:w="70" w:type="dxa"/>
              <w:start w:w="80" w:type="dxa"/>
              <w:bottom w:w="70" w:type="dxa"/>
              <w:end w:w="80" w:type="dxa"/>
            </w:tcMar>
          </w:tcPr>
          <w:p>
            <w:r>
              <w:rPr>
                <w:rFonts w:ascii="Aptos" w:hAnsi="Aptos"/>
                <w:b w:val="0"/>
                <w:color w:val="1D242B"/>
                <w:sz w:val="17"/>
              </w:rPr>
              <w:t>Are aging thresholds early enough to escalate missing payer acknowledgment before the deadline?</w:t>
            </w:r>
          </w:p>
        </w:tc>
      </w:tr>
      <w:tr>
        <w:trPr>
          <w:cantSplit/>
        </w:trPr>
        <w:tc>
          <w:tcPr>
            <w:tcW w:type="dxa" w:w="5227"/>
            <w:tcMar>
              <w:top w:w="70" w:type="dxa"/>
              <w:start w:w="80" w:type="dxa"/>
              <w:bottom w:w="70" w:type="dxa"/>
              <w:end w:w="80" w:type="dxa"/>
            </w:tcMar>
            <w:shd w:fill="F3F5F7"/>
          </w:tcPr>
          <w:p>
            <w:r>
              <w:rPr>
                <w:rFonts w:ascii="Aptos" w:hAnsi="Aptos"/>
                <w:b/>
                <w:color w:val="1D242B"/>
                <w:sz w:val="17"/>
              </w:rPr>
              <w:t>Payment variance</w:t>
            </w:r>
          </w:p>
        </w:tc>
        <w:tc>
          <w:tcPr>
            <w:tcW w:type="dxa" w:w="5227"/>
            <w:tcMar>
              <w:top w:w="70" w:type="dxa"/>
              <w:start w:w="80" w:type="dxa"/>
              <w:bottom w:w="70" w:type="dxa"/>
              <w:end w:w="80" w:type="dxa"/>
            </w:tcMar>
            <w:shd w:fill="F3F5F7"/>
          </w:tcPr>
          <w:p>
            <w:r>
              <w:rPr>
                <w:rFonts w:ascii="Aptos" w:hAnsi="Aptos"/>
                <w:b w:val="0"/>
                <w:color w:val="1D242B"/>
                <w:sz w:val="17"/>
              </w:rPr>
              <w:t>Are expected rates/configuration validated and actual remittance compared to expected payment?</w:t>
            </w:r>
          </w:p>
        </w:tc>
      </w:tr>
    </w:tbl>
    <w:tbl>
      <w:tblPr>
        <w:tblW w:type="auto" w:w="0"/>
        <w:jc w:val="center"/>
        <w:tblLayout w:type="fixed"/>
        <w:tblLook w:firstColumn="1" w:firstRow="1" w:lastColumn="0" w:lastRow="0" w:noHBand="0" w:noVBand="1" w:val="04A0"/>
      </w:tblPr>
      <w:tblGrid>
        <w:gridCol w:w="10454"/>
      </w:tblGrid>
      <w:tr>
        <w:trPr>
          <w:cantSplit/>
        </w:trPr>
        <w:tc>
          <w:tcPr>
            <w:tcW w:type="dxa" w:w="10454"/>
            <w:shd w:fill="EAF4EA"/>
            <w:tcMar>
              <w:top w:w="120" w:type="dxa"/>
              <w:start w:w="140" w:type="dxa"/>
              <w:bottom w:w="120" w:type="dxa"/>
              <w:end w:w="140" w:type="dxa"/>
            </w:tcMar>
            <w:tcBorders>
              <w:left w:val="single" w:sz="18" w:color="3D6B3D"/>
            </w:tcBorders>
          </w:tcPr>
          <w:p>
            <w:pPr>
              <w:spacing w:after="80"/>
            </w:pPr>
            <w:r>
              <w:rPr>
                <w:rFonts w:ascii="Aptos" w:hAnsi="Aptos"/>
                <w:b/>
                <w:color w:val="3D6B3D"/>
                <w:sz w:val="21"/>
              </w:rPr>
              <w:t>Closed means more than “paid”</w:t>
            </w:r>
          </w:p>
          <w:p>
            <w:pPr>
              <w:spacing w:after="0"/>
            </w:pPr>
            <w:r>
              <w:rPr>
                <w:rFonts w:ascii="Aptos" w:hAnsi="Aptos"/>
                <w:color w:val="1D242B"/>
                <w:sz w:val="19"/>
              </w:rPr>
              <w:t>For a recurring denial, true closure means the claim is resolved, the evidence is retained, and the upstream control is corrected or explicitly accepted as an exception.</w:t>
            </w:r>
          </w:p>
        </w:tc>
      </w:tr>
    </w:tbl>
    <w:p>
      <w:pPr>
        <w:widowControl/>
        <w:spacing w:after="20"/>
      </w:pPr>
    </w:p>
    <w:p>
      <w:pPr>
        <w:pStyle w:val="Heading1"/>
        <w:keepNext/>
        <w:widowControl/>
        <w:spacing w:before="140" w:after="100"/>
      </w:pPr>
      <w:r>
        <w:rPr>
          <w:rFonts w:ascii="Aptos" w:hAnsi="Aptos"/>
          <w:b/>
          <w:color w:val="0B213B"/>
          <w:sz w:val="32"/>
        </w:rPr>
        <w:t>6. Authoritative Reference Points</w:t>
      </w:r>
    </w:p>
    <w:p>
      <w:pPr>
        <w:keepNext w:val="0"/>
        <w:widowControl/>
        <w:spacing w:after="140"/>
      </w:pPr>
      <w:r>
        <w:rPr>
          <w:rFonts w:ascii="Aptos" w:hAnsi="Aptos"/>
          <w:color w:val="1D242B"/>
          <w:sz w:val="20"/>
        </w:rPr>
        <w:t>Use this guide as a diagnostic framework. For the actual rule, filing deadline, appeal path, EVV requirement, claim field, authorization standard, or correction method, use the controlling state/payer authority.</w:t>
      </w:r>
    </w:p>
    <w:p>
      <w:pPr>
        <w:widowControl/>
        <w:spacing w:after="40"/>
      </w:pPr>
      <w:r>
        <w:rPr>
          <w:rFonts w:ascii="Aptos" w:hAnsi="Aptos"/>
          <w:b/>
          <w:color w:val="0B213B"/>
          <w:sz w:val="19"/>
        </w:rPr>
        <w:t>CMS — Health Care Payment and Remittance Advice</w:t>
      </w:r>
    </w:p>
    <w:p>
      <w:pPr>
        <w:widowControl/>
        <w:spacing w:after="40"/>
        <w:ind w:left="216"/>
      </w:pPr>
      <w:r>
        <w:rPr>
          <w:rFonts w:ascii="Aptos" w:hAnsi="Aptos"/>
          <w:color w:val="1D242B"/>
          <w:sz w:val="18"/>
        </w:rPr>
        <w:t xml:space="preserve">Explains ERA/SPR adjustment information and the relationship among group codes, CARCs and RARCs. </w:t>
      </w:r>
      <w:hyperlink r:id="rId12">
        <w:r>
          <w:rPr>
            <w:color w:val="0563C1"/>
            <w:u w:val="single"/>
          </w:rPr>
          <w:t>Open official source</w:t>
        </w:r>
      </w:hyperlink>
    </w:p>
    <w:p>
      <w:pPr>
        <w:widowControl/>
        <w:spacing w:after="40"/>
      </w:pPr>
      <w:r>
        <w:rPr>
          <w:rFonts w:ascii="Aptos" w:hAnsi="Aptos"/>
          <w:b/>
          <w:color w:val="0B213B"/>
          <w:sz w:val="19"/>
        </w:rPr>
        <w:t>CMS — EFT and Remittance Advice / Administrative Simplification</w:t>
      </w:r>
    </w:p>
    <w:p>
      <w:pPr>
        <w:widowControl/>
        <w:spacing w:after="40"/>
        <w:ind w:left="216"/>
      </w:pPr>
      <w:r>
        <w:rPr>
          <w:rFonts w:ascii="Aptos" w:hAnsi="Aptos"/>
          <w:color w:val="1D242B"/>
          <w:sz w:val="18"/>
        </w:rPr>
        <w:t xml:space="preserve">Confirms that HIPAA-covered health plans use standardized CARCs and RARCs and identifies X12 as the code-set maintainer. </w:t>
      </w:r>
      <w:hyperlink r:id="rId13">
        <w:r>
          <w:rPr>
            <w:color w:val="0563C1"/>
            <w:u w:val="single"/>
          </w:rPr>
          <w:t>Open official source</w:t>
        </w:r>
      </w:hyperlink>
    </w:p>
    <w:p>
      <w:pPr>
        <w:widowControl/>
        <w:spacing w:after="40"/>
      </w:pPr>
      <w:r>
        <w:rPr>
          <w:rFonts w:ascii="Aptos" w:hAnsi="Aptos"/>
          <w:b/>
          <w:color w:val="0B213B"/>
          <w:sz w:val="19"/>
        </w:rPr>
        <w:t>X12 — Claim Adjustment Reason Codes</w:t>
      </w:r>
    </w:p>
    <w:p>
      <w:pPr>
        <w:widowControl/>
        <w:spacing w:after="40"/>
        <w:ind w:left="216"/>
      </w:pPr>
      <w:r>
        <w:rPr>
          <w:rFonts w:ascii="Aptos" w:hAnsi="Aptos"/>
          <w:color w:val="1D242B"/>
          <w:sz w:val="18"/>
        </w:rPr>
        <w:t xml:space="preserve">Current code descriptions, effective dates and maintenance information for CARCs. </w:t>
      </w:r>
      <w:hyperlink r:id="rId14">
        <w:r>
          <w:rPr>
            <w:color w:val="0563C1"/>
            <w:u w:val="single"/>
          </w:rPr>
          <w:t>Open official source</w:t>
        </w:r>
      </w:hyperlink>
    </w:p>
    <w:p>
      <w:pPr>
        <w:widowControl/>
        <w:spacing w:after="40"/>
      </w:pPr>
      <w:r>
        <w:rPr>
          <w:rFonts w:ascii="Aptos" w:hAnsi="Aptos"/>
          <w:b/>
          <w:color w:val="0B213B"/>
          <w:sz w:val="19"/>
        </w:rPr>
        <w:t>Medicaid.gov — Electronic Visit Verification</w:t>
      </w:r>
    </w:p>
    <w:p>
      <w:pPr>
        <w:widowControl/>
        <w:spacing w:after="40"/>
        <w:ind w:left="216"/>
      </w:pPr>
      <w:r>
        <w:rPr>
          <w:rFonts w:ascii="Aptos" w:hAnsi="Aptos"/>
          <w:color w:val="1D242B"/>
          <w:sz w:val="18"/>
        </w:rPr>
        <w:t xml:space="preserve">Federal EVV framework for Medicaid personal care and home health services that require an in-home visit. </w:t>
      </w:r>
      <w:hyperlink r:id="rId15">
        <w:r>
          <w:rPr>
            <w:color w:val="0563C1"/>
            <w:u w:val="single"/>
          </w:rPr>
          <w:t>Open official source</w:t>
        </w:r>
      </w:hyperlink>
    </w:p>
    <w:p>
      <w:pPr>
        <w:pStyle w:val="Heading2"/>
        <w:keepNext/>
        <w:widowControl/>
        <w:spacing w:before="100" w:after="100"/>
      </w:pPr>
      <w:r>
        <w:rPr>
          <w:rFonts w:ascii="Aptos" w:hAnsi="Aptos"/>
          <w:b/>
          <w:color w:val="0B213B"/>
          <w:sz w:val="25"/>
        </w:rPr>
        <w:t>Source hierarchy for a real denial</w:t>
      </w:r>
    </w:p>
    <w:p>
      <w:pPr>
        <w:pStyle w:val="ListBullet"/>
        <w:widowControl/>
        <w:spacing w:after="60"/>
      </w:pPr>
      <w:r>
        <w:rPr>
          <w:rFonts w:ascii="Aptos" w:hAnsi="Aptos"/>
          <w:color w:val="1D242B"/>
          <w:sz w:val="19"/>
        </w:rPr>
        <w:t>State Medicaid agency / MMIS or fiscal-agent authority for FFS rules and state program requirements.</w:t>
      </w:r>
    </w:p>
    <w:p>
      <w:pPr>
        <w:pStyle w:val="ListBullet"/>
        <w:widowControl/>
        <w:spacing w:after="60"/>
      </w:pPr>
      <w:r>
        <w:rPr>
          <w:rFonts w:ascii="Aptos" w:hAnsi="Aptos"/>
          <w:color w:val="1D242B"/>
          <w:sz w:val="19"/>
        </w:rPr>
        <w:t>MCO/health plan provider manual, contract, portal, authorization record, and remittance detail for managed-care requirements.</w:t>
      </w:r>
    </w:p>
    <w:p>
      <w:pPr>
        <w:pStyle w:val="ListBullet"/>
        <w:widowControl/>
        <w:spacing w:after="60"/>
      </w:pPr>
      <w:r>
        <w:rPr>
          <w:rFonts w:ascii="Aptos" w:hAnsi="Aptos"/>
          <w:color w:val="1D242B"/>
          <w:sz w:val="19"/>
        </w:rPr>
        <w:t>EVV aggregator or state EVV authority for visit acceptance, exceptions, and matching requirements.</w:t>
      </w:r>
    </w:p>
    <w:p>
      <w:pPr>
        <w:pStyle w:val="ListBullet"/>
        <w:widowControl/>
        <w:spacing w:after="60"/>
      </w:pPr>
      <w:r>
        <w:rPr>
          <w:rFonts w:ascii="Aptos" w:hAnsi="Aptos"/>
          <w:color w:val="1D242B"/>
          <w:sz w:val="19"/>
        </w:rPr>
        <w:t>Clearinghouse acceptance/rejection evidence for transmission history—but not as a substitute for payer adjudication status.</w:t>
      </w:r>
    </w:p>
    <w:p>
      <w:pPr>
        <w:pStyle w:val="ListBullet"/>
        <w:widowControl/>
        <w:spacing w:after="60"/>
      </w:pPr>
      <w:r>
        <w:rPr>
          <w:rFonts w:ascii="Aptos" w:hAnsi="Aptos"/>
          <w:color w:val="1D242B"/>
          <w:sz w:val="19"/>
        </w:rPr>
        <w:t>Agency billing/management system and approved evidence repository for the operational record of work performed.</w:t>
      </w:r>
    </w:p>
    <w:tbl>
      <w:tblPr>
        <w:tblW w:type="auto" w:w="0"/>
        <w:jc w:val="center"/>
        <w:tblLayout w:type="fixed"/>
        <w:tblLook w:firstColumn="1" w:firstRow="1" w:lastColumn="0" w:lastRow="0" w:noHBand="0" w:noVBand="1" w:val="04A0"/>
      </w:tblPr>
      <w:tblGrid>
        <w:gridCol w:w="10454"/>
      </w:tblGrid>
      <w:tr>
        <w:trPr>
          <w:cantSplit/>
        </w:trPr>
        <w:tc>
          <w:tcPr>
            <w:tcW w:type="dxa" w:w="10454"/>
            <w:shd w:fill="F7F0D8"/>
            <w:tcMar>
              <w:top w:w="120" w:type="dxa"/>
              <w:start w:w="140" w:type="dxa"/>
              <w:bottom w:w="120" w:type="dxa"/>
              <w:end w:w="140" w:type="dxa"/>
            </w:tcMar>
            <w:tcBorders>
              <w:left w:val="single" w:sz="18" w:color="C9A227"/>
            </w:tcBorders>
          </w:tcPr>
          <w:p>
            <w:pPr>
              <w:spacing w:after="80"/>
            </w:pPr>
            <w:r>
              <w:rPr>
                <w:rFonts w:ascii="Aptos" w:hAnsi="Aptos"/>
                <w:b/>
                <w:color w:val="C9A227"/>
                <w:sz w:val="21"/>
              </w:rPr>
              <w:t>Professional standard</w:t>
            </w:r>
          </w:p>
          <w:p>
            <w:pPr>
              <w:spacing w:after="0"/>
            </w:pPr>
            <w:r>
              <w:rPr>
                <w:rFonts w:ascii="Aptos" w:hAnsi="Aptos"/>
                <w:color w:val="1D242B"/>
                <w:sz w:val="19"/>
              </w:rPr>
              <w:t>Never convert a payer example, internal habit, software behavior, or one-state rule into a national Medicaid requirement. Verify the authority that controls the claim in front of you.</w:t>
            </w:r>
          </w:p>
        </w:tc>
      </w:tr>
    </w:tbl>
    <w:p>
      <w:pPr>
        <w:widowControl/>
        <w:spacing w:after="20"/>
      </w:pPr>
    </w:p>
    <w:p>
      <w:pPr>
        <w:widowControl/>
        <w:spacing w:before="200" w:after="80"/>
      </w:pPr>
      <w:r>
        <w:rPr>
          <w:rFonts w:ascii="Aptos" w:hAnsi="Aptos"/>
          <w:b/>
          <w:color w:val="0B213B"/>
          <w:sz w:val="22"/>
        </w:rPr>
        <w:t>About HCRI</w:t>
      </w:r>
    </w:p>
    <w:p>
      <w:pPr>
        <w:keepNext w:val="0"/>
        <w:widowControl/>
        <w:spacing w:after="120"/>
      </w:pPr>
      <w:r>
        <w:rPr>
          <w:rFonts w:ascii="Aptos" w:hAnsi="Aptos"/>
          <w:color w:val="1D242B"/>
          <w:sz w:val="20"/>
        </w:rPr>
        <w:t>The Home Care Revenue Institute develops professional competency, certification, and operating standards for Medicaid-funded HCBS/LTSS revenue-cycle work. HCRI education focuses on the decisions, controls, evidence, escalation, and prevention practices that help revenue-cycle professionals protect earned revenue without confusing HCRI guidance with governing state or payer authority.</w:t>
      </w:r>
    </w:p>
    <w:sectPr w:rsidR="00FC693F" w:rsidRPr="0006063C" w:rsidSect="00034616">
      <w:headerReference w:type="default" r:id="rId9"/>
      <w:footerReference w:type="default" r:id="rId10"/>
      <w:pgSz w:w="12240" w:h="15840"/>
      <w:pgMar w:top="835"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E6872"/>
        <w:sz w:val="15"/>
      </w:rPr>
      <w:t>Educational resource | Medicaid HCBS/LTSS revenue operations | Verify state and payer requirements before action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5220"/>
      <w:gridCol w:w="5220"/>
    </w:tblGrid>
    <w:tr>
      <w:tc>
        <w:tcPr>
          <w:tcW w:type="dxa" w:w="8208"/>
          <w:tcBorders>
            <w:bottom w:val="single" w:sz="8" w:color="C9A227"/>
          </w:tcBorders>
          <w:tcMar>
            <w:top w:w="80" w:type="dxa"/>
            <w:start w:w="80" w:type="dxa"/>
            <w:bottom w:w="50" w:type="dxa"/>
            <w:end w:w="80" w:type="dxa"/>
          </w:tcMar>
        </w:tcPr>
        <w:p>
          <w:r>
            <w:rPr>
              <w:rFonts w:ascii="Aptos" w:hAnsi="Aptos"/>
              <w:b/>
              <w:color w:val="0B213B"/>
              <w:sz w:val="17"/>
            </w:rPr>
            <w:t>HOME CARE REVENUE INSTITUTE</w:t>
          </w:r>
        </w:p>
      </w:tc>
      <w:tc>
        <w:tcPr>
          <w:tcW w:type="dxa" w:w="2232"/>
          <w:tcBorders>
            <w:bottom w:val="single" w:sz="8" w:color="C9A227"/>
          </w:tcBorders>
          <w:tcMar>
            <w:top w:w="80" w:type="dxa"/>
            <w:start w:w="80" w:type="dxa"/>
            <w:bottom w:w="50" w:type="dxa"/>
            <w:end w:w="80" w:type="dxa"/>
          </w:tcMar>
        </w:tcPr>
        <w:p>
          <w:pPr>
            <w:jc w:val="right"/>
          </w:pPr>
          <w:r>
            <w:rPr>
              <w:rFonts w:ascii="Aptos" w:hAnsi="Aptos"/>
              <w:b/>
              <w:color w:val="5E6872"/>
              <w:sz w:val="16"/>
            </w:rPr>
            <w:t>HCRI FIELD GUIDE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cms.gov/medicare/coding-billing/electronic-billing/health-care-payment-remittance-advice" TargetMode="External"/><Relationship Id="rId13" Type="http://schemas.openxmlformats.org/officeDocument/2006/relationships/hyperlink" Target="https://www.cms.gov/priorities/key-initiatives/burden-reduction/administrative-simplification/operating-rules/eft-remittance-advice" TargetMode="External"/><Relationship Id="rId14" Type="http://schemas.openxmlformats.org/officeDocument/2006/relationships/hyperlink" Target="https://x12.org/codes/claim-adjustment-reason-codes" TargetMode="External"/><Relationship Id="rId15" Type="http://schemas.openxmlformats.org/officeDocument/2006/relationships/hyperlink" Target="https://www.medicaid.gov/medicaid/home-community-based-services/home-community-based-services-guidance-additional-resources/electronic-visit-ver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